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33" w:rsidRPr="00C01133" w:rsidRDefault="00C01133" w:rsidP="00C01133">
      <w:pPr>
        <w:keepNext/>
        <w:keepLines/>
        <w:spacing w:before="260" w:after="260" w:line="416" w:lineRule="auto"/>
        <w:outlineLvl w:val="1"/>
        <w:rPr>
          <w:rFonts w:ascii="Cambria" w:eastAsia="宋体" w:hAnsi="Cambria" w:cs="Times New Roman"/>
          <w:b/>
          <w:bCs/>
          <w:sz w:val="32"/>
          <w:szCs w:val="32"/>
        </w:rPr>
      </w:pPr>
      <w:r w:rsidRPr="00C01133">
        <w:rPr>
          <w:rFonts w:ascii="Cambria" w:eastAsia="宋体" w:hAnsi="Cambria" w:cs="Times New Roman"/>
          <w:b/>
          <w:bCs/>
          <w:sz w:val="32"/>
          <w:szCs w:val="32"/>
        </w:rPr>
        <w:t>201</w:t>
      </w:r>
      <w:r w:rsidRPr="00C01133">
        <w:rPr>
          <w:rFonts w:ascii="Cambria" w:eastAsia="宋体" w:hAnsi="Cambria" w:cs="Times New Roman" w:hint="eastAsia"/>
          <w:b/>
          <w:bCs/>
          <w:sz w:val="32"/>
          <w:szCs w:val="32"/>
        </w:rPr>
        <w:t>9</w:t>
      </w:r>
      <w:r>
        <w:rPr>
          <w:rFonts w:ascii="Cambria" w:eastAsia="宋体" w:hAnsi="Cambria" w:cs="Times New Roman" w:hint="eastAsia"/>
          <w:b/>
          <w:bCs/>
          <w:sz w:val="32"/>
          <w:szCs w:val="32"/>
        </w:rPr>
        <w:t>年度上海外国语大学教育发展基金会捐赠使用</w:t>
      </w:r>
      <w:r w:rsidRPr="00C01133">
        <w:rPr>
          <w:rFonts w:ascii="Cambria" w:eastAsia="宋体" w:hAnsi="Cambria" w:cs="Times New Roman" w:hint="eastAsia"/>
          <w:b/>
          <w:bCs/>
          <w:sz w:val="32"/>
          <w:szCs w:val="32"/>
        </w:rPr>
        <w:t>情况：</w:t>
      </w:r>
    </w:p>
    <w:tbl>
      <w:tblPr>
        <w:tblW w:w="93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99"/>
        <w:gridCol w:w="1520"/>
        <w:gridCol w:w="1559"/>
        <w:gridCol w:w="1412"/>
        <w:gridCol w:w="1373"/>
      </w:tblGrid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用途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期初余额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本期增加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本期减少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C01133">
              <w:rPr>
                <w:rFonts w:ascii="宋体" w:eastAsia="宋体" w:hAnsi="宋体" w:cs="宋体" w:hint="eastAsia"/>
                <w:b/>
                <w:kern w:val="0"/>
                <w:szCs w:val="21"/>
              </w:rPr>
              <w:t>期末余额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三井住友银行奖学金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三井住友银行优秀学生奖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31560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42240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73800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致远围棋基金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支持上外围棋事业发展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77413.2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87413.2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中国路桥奖教金、奖学金、助学金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赠与亚洲基金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张乃新奖学金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、助学金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10557.66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467329.77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477887.43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（嘉御基金）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MBA</w:t>
            </w: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教学科研、学生实践活动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708380.63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83184.1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625196.53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校友助学基金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开展相关院系校友活动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243890.64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3026.76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246917.4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物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语公司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日语系教学科研与学生实践活动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55051.94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5800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49251.94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思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源教育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俄语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系优秀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1043500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17500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1061000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爱棒球教育发展基金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上外棒球队训练、比赛费用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28400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28370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申万宏源基金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申万宏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源奖、助学金、奖教金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2319.16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85000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87319.16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社基金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外教社奖、助学金、奖教金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550666.45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650666.45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中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博教育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支持学校国际金融贸易学院的教学科研与师生人才培养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200000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65000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135000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邹格兵教育基金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支持学校教学科研发展与校友活动及</w:t>
            </w: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70</w:t>
            </w: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周年校庆活动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3000000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3000000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243379.44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5756620.56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东方语学院学生活动基金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支持东方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语学生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社会实践活动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18255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6050.7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12204.3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三菱商事奖学金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学生奖学金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205000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205000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kern w:val="0"/>
                <w:sz w:val="20"/>
                <w:szCs w:val="20"/>
              </w:rPr>
              <w:t>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泽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稷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支持学校国际金融贸易学院教学科研与人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才培养工作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lastRenderedPageBreak/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800000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800000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lastRenderedPageBreak/>
              <w:t>康师傅教育基金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资助工商管理学院贫困生与上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外就业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指导中心双创指导中心的运营与维护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西索德育教育基金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支持德语系教学科研与学生实践活动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人文教育基金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SISU-RAE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联合中心的运营与维护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1748810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1748810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proofErr w:type="gramStart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安硕基础教育</w:t>
            </w:r>
            <w:proofErr w:type="gramEnd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支持学校基础教育工作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2500000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2500000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郭伟成教育基金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支持和推动学校教育事业的发展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100000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100000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吴贤良</w:t>
            </w:r>
            <w:proofErr w:type="gramStart"/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励志奖</w:t>
            </w:r>
            <w:proofErr w:type="gramEnd"/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支持和推动学校教育事业的发展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20000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校庆专项基金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支持上外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70</w:t>
            </w: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周年校庆各类项目</w:t>
            </w: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22000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0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jc w:val="center"/>
              <w:rPr>
                <w:rFonts w:ascii="Arial" w:eastAsia="宋体" w:hAnsi="Arial" w:cs="Arial"/>
                <w:bCs/>
                <w:sz w:val="20"/>
                <w:szCs w:val="20"/>
              </w:rPr>
            </w:pPr>
            <w:r w:rsidRPr="00C01133">
              <w:rPr>
                <w:rFonts w:ascii="Arial" w:eastAsia="宋体" w:hAnsi="Arial" w:cs="Arial" w:hint="eastAsia"/>
                <w:bCs/>
                <w:sz w:val="20"/>
                <w:szCs w:val="20"/>
              </w:rPr>
              <w:t>22000</w:t>
            </w:r>
          </w:p>
        </w:tc>
      </w:tr>
      <w:tr w:rsidR="00C01133" w:rsidRPr="00C01133" w:rsidTr="00DB32E0">
        <w:trPr>
          <w:trHeight w:val="276"/>
        </w:trPr>
        <w:tc>
          <w:tcPr>
            <w:tcW w:w="184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  <w:r w:rsidRPr="00C01133">
              <w:rPr>
                <w:rFonts w:ascii="Times New Roman" w:eastAsia="宋体" w:hAnsi="Times New Roman" w:cs="Times New Roman" w:hint="eastAsia"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9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right"/>
              <w:textAlignment w:val="center"/>
              <w:rPr>
                <w:rFonts w:ascii="Times New Roman" w:eastAsia="宋体" w:hAnsi="Times New Roman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1520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C0113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5969994.68</w:t>
            </w:r>
          </w:p>
        </w:tc>
        <w:tc>
          <w:tcPr>
            <w:tcW w:w="1559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C0113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9720906.53</w:t>
            </w:r>
          </w:p>
        </w:tc>
        <w:tc>
          <w:tcPr>
            <w:tcW w:w="1412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C0113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636784.24</w:t>
            </w:r>
          </w:p>
        </w:tc>
        <w:tc>
          <w:tcPr>
            <w:tcW w:w="1373" w:type="dxa"/>
            <w:noWrap/>
            <w:vAlign w:val="center"/>
          </w:tcPr>
          <w:p w:rsidR="00C01133" w:rsidRPr="00C01133" w:rsidRDefault="00C01133" w:rsidP="00C01133">
            <w:pPr>
              <w:widowControl/>
              <w:jc w:val="right"/>
              <w:textAlignment w:val="center"/>
              <w:rPr>
                <w:rFonts w:ascii="Arial" w:eastAsia="宋体" w:hAnsi="Arial" w:cs="Arial"/>
                <w:bCs/>
                <w:szCs w:val="21"/>
              </w:rPr>
            </w:pPr>
            <w:r w:rsidRPr="00C01133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15054116.97</w:t>
            </w:r>
          </w:p>
        </w:tc>
      </w:tr>
    </w:tbl>
    <w:p w:rsidR="00C01133" w:rsidRPr="00C01133" w:rsidRDefault="00C01133" w:rsidP="00C01133">
      <w:pPr>
        <w:rPr>
          <w:rFonts w:ascii="等线" w:eastAsia="等线" w:hAnsi="等线" w:cs="Times New Roman"/>
          <w:sz w:val="24"/>
          <w:szCs w:val="24"/>
        </w:rPr>
      </w:pPr>
    </w:p>
    <w:p w:rsidR="00603668" w:rsidRDefault="00603668"/>
    <w:sectPr w:rsidR="00603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33"/>
    <w:rsid w:val="00005159"/>
    <w:rsid w:val="000516E3"/>
    <w:rsid w:val="000F25A4"/>
    <w:rsid w:val="00124E9F"/>
    <w:rsid w:val="00187CD4"/>
    <w:rsid w:val="0026649C"/>
    <w:rsid w:val="002B1420"/>
    <w:rsid w:val="002C5216"/>
    <w:rsid w:val="00354E8A"/>
    <w:rsid w:val="003D1977"/>
    <w:rsid w:val="003E6ADB"/>
    <w:rsid w:val="00461737"/>
    <w:rsid w:val="005863DE"/>
    <w:rsid w:val="005A50CE"/>
    <w:rsid w:val="00603668"/>
    <w:rsid w:val="006A0581"/>
    <w:rsid w:val="006C7B19"/>
    <w:rsid w:val="006D4837"/>
    <w:rsid w:val="006E6BC0"/>
    <w:rsid w:val="006F1DAA"/>
    <w:rsid w:val="007B5DA8"/>
    <w:rsid w:val="007C6FA8"/>
    <w:rsid w:val="00861A0F"/>
    <w:rsid w:val="00862DA4"/>
    <w:rsid w:val="00866038"/>
    <w:rsid w:val="00876932"/>
    <w:rsid w:val="008C7DCA"/>
    <w:rsid w:val="009B0545"/>
    <w:rsid w:val="009B1BA0"/>
    <w:rsid w:val="009F725B"/>
    <w:rsid w:val="00A65DE7"/>
    <w:rsid w:val="00AB15A4"/>
    <w:rsid w:val="00AB32DD"/>
    <w:rsid w:val="00AF497D"/>
    <w:rsid w:val="00B02806"/>
    <w:rsid w:val="00B7590C"/>
    <w:rsid w:val="00BF2A48"/>
    <w:rsid w:val="00C01133"/>
    <w:rsid w:val="00C832DC"/>
    <w:rsid w:val="00CD0CE2"/>
    <w:rsid w:val="00DC4188"/>
    <w:rsid w:val="00DF1030"/>
    <w:rsid w:val="00E57BB5"/>
    <w:rsid w:val="00E651B9"/>
    <w:rsid w:val="00E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杨晴琦</dc:creator>
  <cp:lastModifiedBy>杨晴琦</cp:lastModifiedBy>
  <cp:revision>1</cp:revision>
  <dcterms:created xsi:type="dcterms:W3CDTF">2020-07-09T02:54:00Z</dcterms:created>
  <dcterms:modified xsi:type="dcterms:W3CDTF">2020-07-09T02:55:00Z</dcterms:modified>
</cp:coreProperties>
</file>