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AD" w:rsidRDefault="00A736F7" w:rsidP="003E6AAD">
      <w:pPr>
        <w:jc w:val="center"/>
        <w:rPr>
          <w:b/>
          <w:sz w:val="32"/>
          <w:szCs w:val="32"/>
        </w:rPr>
      </w:pPr>
      <w:r w:rsidRPr="00224406">
        <w:rPr>
          <w:rFonts w:hint="eastAsia"/>
          <w:b/>
          <w:sz w:val="32"/>
          <w:szCs w:val="32"/>
        </w:rPr>
        <w:t>上海外国语大学教育发展基金会</w:t>
      </w:r>
    </w:p>
    <w:p w:rsidR="00A736F7" w:rsidRDefault="00EE11EE" w:rsidP="003E6AAD">
      <w:pPr>
        <w:jc w:val="center"/>
        <w:rPr>
          <w:b/>
          <w:sz w:val="32"/>
          <w:szCs w:val="32"/>
        </w:rPr>
      </w:pPr>
      <w:r w:rsidRPr="00224406">
        <w:rPr>
          <w:rFonts w:hint="eastAsia"/>
          <w:b/>
          <w:sz w:val="32"/>
          <w:szCs w:val="32"/>
        </w:rPr>
        <w:t>三</w:t>
      </w:r>
      <w:r w:rsidR="007222DC" w:rsidRPr="00224406">
        <w:rPr>
          <w:rFonts w:hint="eastAsia"/>
          <w:b/>
          <w:sz w:val="32"/>
          <w:szCs w:val="32"/>
        </w:rPr>
        <w:t>届一次理事会会议工作报告</w:t>
      </w:r>
    </w:p>
    <w:p w:rsidR="003E6AAD" w:rsidRPr="00224406" w:rsidRDefault="003E6AAD" w:rsidP="003E6AAD">
      <w:pPr>
        <w:jc w:val="center"/>
        <w:rPr>
          <w:b/>
          <w:sz w:val="32"/>
          <w:szCs w:val="32"/>
        </w:rPr>
      </w:pPr>
    </w:p>
    <w:p w:rsidR="00A736F7" w:rsidRPr="003E6AAD" w:rsidRDefault="003E6AAD" w:rsidP="003E6AAD">
      <w:pPr>
        <w:rPr>
          <w:b/>
          <w:sz w:val="32"/>
          <w:szCs w:val="32"/>
        </w:rPr>
      </w:pPr>
      <w:r>
        <w:rPr>
          <w:rFonts w:hint="eastAsia"/>
          <w:b/>
          <w:sz w:val="32"/>
          <w:szCs w:val="32"/>
        </w:rPr>
        <w:t>一、</w:t>
      </w:r>
      <w:r w:rsidR="00EE11EE" w:rsidRPr="003E6AAD">
        <w:rPr>
          <w:rFonts w:hint="eastAsia"/>
          <w:b/>
          <w:sz w:val="32"/>
          <w:szCs w:val="32"/>
        </w:rPr>
        <w:t>基本工作汇报</w:t>
      </w:r>
    </w:p>
    <w:p w:rsidR="007222DC" w:rsidRDefault="007222DC" w:rsidP="008E6E38">
      <w:pPr>
        <w:ind w:firstLineChars="250" w:firstLine="700"/>
        <w:rPr>
          <w:sz w:val="28"/>
          <w:szCs w:val="28"/>
        </w:rPr>
      </w:pPr>
      <w:r w:rsidRPr="008E6E38">
        <w:rPr>
          <w:rFonts w:hint="eastAsia"/>
          <w:sz w:val="28"/>
          <w:szCs w:val="28"/>
        </w:rPr>
        <w:t>2019</w:t>
      </w:r>
      <w:r w:rsidRPr="008E6E38">
        <w:rPr>
          <w:rFonts w:hint="eastAsia"/>
          <w:sz w:val="28"/>
          <w:szCs w:val="28"/>
        </w:rPr>
        <w:t>年下半年，基金会对接校内各院系、部门需求，走访理事单位，积极开展与其他机构、企业、校友的联络，为学校办学寻求资金支持。根据</w:t>
      </w:r>
      <w:r w:rsidRPr="008E6E38">
        <w:rPr>
          <w:rFonts w:hint="eastAsia"/>
          <w:sz w:val="28"/>
          <w:szCs w:val="28"/>
        </w:rPr>
        <w:t>70</w:t>
      </w:r>
      <w:r w:rsidRPr="008E6E38">
        <w:rPr>
          <w:rFonts w:hint="eastAsia"/>
          <w:sz w:val="28"/>
          <w:szCs w:val="28"/>
        </w:rPr>
        <w:t>周年校庆主题，梳理汇总捐赠项目，从校庆专项基金、人才培养基金、学科发展基金、校园建设基金、校友活动基金等</w:t>
      </w:r>
      <w:r w:rsidRPr="008E6E38">
        <w:rPr>
          <w:rFonts w:hint="eastAsia"/>
          <w:sz w:val="28"/>
          <w:szCs w:val="28"/>
        </w:rPr>
        <w:t>5</w:t>
      </w:r>
      <w:r w:rsidRPr="008E6E38">
        <w:rPr>
          <w:rFonts w:hint="eastAsia"/>
          <w:sz w:val="28"/>
          <w:szCs w:val="28"/>
        </w:rPr>
        <w:t>大方面优化设计并编印《上海外国语大学捐赠项目指南》手册，加大筹资力度。</w:t>
      </w:r>
    </w:p>
    <w:p w:rsidR="003E6AAD" w:rsidRPr="008E6E38" w:rsidRDefault="003E6AAD" w:rsidP="008E6E38">
      <w:pPr>
        <w:ind w:firstLineChars="250" w:firstLine="700"/>
        <w:rPr>
          <w:sz w:val="28"/>
          <w:szCs w:val="28"/>
        </w:rPr>
      </w:pPr>
    </w:p>
    <w:p w:rsidR="00EE11EE" w:rsidRPr="003E6AAD" w:rsidRDefault="003E6AAD" w:rsidP="003E6AAD">
      <w:pPr>
        <w:rPr>
          <w:b/>
          <w:sz w:val="32"/>
          <w:szCs w:val="32"/>
        </w:rPr>
      </w:pPr>
      <w:r w:rsidRPr="003E6AAD">
        <w:rPr>
          <w:rFonts w:hint="eastAsia"/>
          <w:b/>
          <w:sz w:val="32"/>
          <w:szCs w:val="32"/>
        </w:rPr>
        <w:t>二、</w:t>
      </w:r>
      <w:r w:rsidR="00EE11EE" w:rsidRPr="003E6AAD">
        <w:rPr>
          <w:rFonts w:hint="eastAsia"/>
          <w:b/>
          <w:sz w:val="32"/>
          <w:szCs w:val="32"/>
        </w:rPr>
        <w:t>基金会</w:t>
      </w:r>
      <w:r w:rsidR="00EE11EE" w:rsidRPr="003E6AAD">
        <w:rPr>
          <w:rFonts w:hint="eastAsia"/>
          <w:b/>
          <w:sz w:val="32"/>
          <w:szCs w:val="32"/>
        </w:rPr>
        <w:t>2019</w:t>
      </w:r>
      <w:r w:rsidR="00EE11EE" w:rsidRPr="003E6AAD">
        <w:rPr>
          <w:rFonts w:hint="eastAsia"/>
          <w:b/>
          <w:sz w:val="32"/>
          <w:szCs w:val="32"/>
        </w:rPr>
        <w:t>年度工作总结</w:t>
      </w:r>
      <w:r w:rsidR="008E6E38" w:rsidRPr="003E6AAD">
        <w:rPr>
          <w:rFonts w:hint="eastAsia"/>
          <w:b/>
          <w:sz w:val="32"/>
          <w:szCs w:val="32"/>
        </w:rPr>
        <w:t>：</w:t>
      </w:r>
    </w:p>
    <w:p w:rsidR="00EE11EE" w:rsidRPr="00224406" w:rsidRDefault="008E6E38" w:rsidP="008E6E38">
      <w:pPr>
        <w:ind w:firstLineChars="250" w:firstLine="700"/>
        <w:rPr>
          <w:sz w:val="28"/>
          <w:szCs w:val="28"/>
        </w:rPr>
      </w:pPr>
      <w:r>
        <w:rPr>
          <w:rFonts w:hint="eastAsia"/>
          <w:sz w:val="28"/>
          <w:szCs w:val="28"/>
        </w:rPr>
        <w:t>1</w:t>
      </w:r>
      <w:r>
        <w:rPr>
          <w:rFonts w:hint="eastAsia"/>
          <w:sz w:val="28"/>
          <w:szCs w:val="28"/>
        </w:rPr>
        <w:t>、</w:t>
      </w:r>
      <w:r w:rsidR="00EE11EE" w:rsidRPr="00224406">
        <w:rPr>
          <w:rFonts w:hint="eastAsia"/>
          <w:sz w:val="28"/>
          <w:szCs w:val="28"/>
        </w:rPr>
        <w:t>完善内部管理，规范内务建设</w:t>
      </w:r>
    </w:p>
    <w:p w:rsidR="00EE11EE" w:rsidRPr="008E6E38" w:rsidRDefault="00EE11EE" w:rsidP="008E6E38">
      <w:pPr>
        <w:ind w:firstLineChars="250" w:firstLine="700"/>
        <w:rPr>
          <w:sz w:val="28"/>
          <w:szCs w:val="28"/>
        </w:rPr>
      </w:pPr>
      <w:r w:rsidRPr="008E6E38">
        <w:rPr>
          <w:rFonts w:hint="eastAsia"/>
          <w:sz w:val="28"/>
          <w:szCs w:val="28"/>
        </w:rPr>
        <w:t>配合做好政府审计工作、年检工作，依规公开发布工作报告，审计报告；做好高校捐赠收入配比专项资金项目评审与检查工作，</w:t>
      </w:r>
      <w:r w:rsidRPr="008E6E38">
        <w:rPr>
          <w:rFonts w:hint="eastAsia"/>
          <w:sz w:val="28"/>
          <w:szCs w:val="28"/>
        </w:rPr>
        <w:t>2019</w:t>
      </w:r>
      <w:r w:rsidRPr="008E6E38">
        <w:rPr>
          <w:rFonts w:hint="eastAsia"/>
          <w:sz w:val="28"/>
          <w:szCs w:val="28"/>
        </w:rPr>
        <w:t>年是该评审中上海片区唯一完全合格高校；制定完善相关内部管理制度，并配合学校部署，</w:t>
      </w:r>
      <w:r w:rsidRPr="008E6E38">
        <w:rPr>
          <w:rFonts w:hint="eastAsia"/>
          <w:sz w:val="28"/>
          <w:szCs w:val="28"/>
        </w:rPr>
        <w:lastRenderedPageBreak/>
        <w:t>完成基金会内控体系建设。</w:t>
      </w:r>
    </w:p>
    <w:p w:rsidR="00EE11EE" w:rsidRPr="008E6E38" w:rsidRDefault="008E6E38" w:rsidP="008E6E38">
      <w:pPr>
        <w:ind w:firstLineChars="200" w:firstLine="560"/>
        <w:rPr>
          <w:sz w:val="28"/>
          <w:szCs w:val="28"/>
        </w:rPr>
      </w:pPr>
      <w:r w:rsidRPr="008E6E38">
        <w:rPr>
          <w:rFonts w:hint="eastAsia"/>
          <w:sz w:val="28"/>
          <w:szCs w:val="28"/>
        </w:rPr>
        <w:t>2</w:t>
      </w:r>
      <w:r w:rsidRPr="008E6E38">
        <w:rPr>
          <w:rFonts w:hint="eastAsia"/>
          <w:sz w:val="28"/>
          <w:szCs w:val="28"/>
        </w:rPr>
        <w:t>、</w:t>
      </w:r>
      <w:r w:rsidR="00EE11EE" w:rsidRPr="008E6E38">
        <w:rPr>
          <w:rFonts w:hint="eastAsia"/>
          <w:sz w:val="28"/>
          <w:szCs w:val="28"/>
        </w:rPr>
        <w:t>开展教育奖励基金评选，发挥激励作用</w:t>
      </w:r>
    </w:p>
    <w:p w:rsidR="00EE11EE" w:rsidRPr="008E6E38" w:rsidRDefault="00EE11EE" w:rsidP="008E6E38">
      <w:pPr>
        <w:ind w:firstLineChars="200" w:firstLine="560"/>
        <w:rPr>
          <w:sz w:val="28"/>
          <w:szCs w:val="28"/>
        </w:rPr>
      </w:pPr>
      <w:r w:rsidRPr="008E6E38">
        <w:rPr>
          <w:rFonts w:hint="eastAsia"/>
          <w:sz w:val="28"/>
          <w:szCs w:val="28"/>
        </w:rPr>
        <w:t>按各院系部门设置奖励名额，做好年度教育奖励基金申报、评审、颁奖工作，奖励先进教师、学生，资助困难学生。</w:t>
      </w:r>
    </w:p>
    <w:p w:rsidR="00EE11EE" w:rsidRPr="008E6E38" w:rsidRDefault="00C03D15" w:rsidP="008E6E38">
      <w:pPr>
        <w:ind w:firstLineChars="200" w:firstLine="560"/>
        <w:rPr>
          <w:sz w:val="28"/>
          <w:szCs w:val="28"/>
        </w:rPr>
      </w:pPr>
      <w:r w:rsidRPr="008E6E38">
        <w:rPr>
          <w:rFonts w:hint="eastAsia"/>
          <w:sz w:val="28"/>
          <w:szCs w:val="28"/>
        </w:rPr>
        <w:t>3</w:t>
      </w:r>
      <w:r w:rsidR="008E6E38">
        <w:rPr>
          <w:rFonts w:hint="eastAsia"/>
          <w:sz w:val="28"/>
          <w:szCs w:val="28"/>
        </w:rPr>
        <w:t>、</w:t>
      </w:r>
      <w:r w:rsidR="00EE11EE" w:rsidRPr="008E6E38">
        <w:rPr>
          <w:rFonts w:hint="eastAsia"/>
          <w:sz w:val="28"/>
          <w:szCs w:val="28"/>
        </w:rPr>
        <w:t>加强业务学习，深化制度建设</w:t>
      </w:r>
    </w:p>
    <w:p w:rsidR="00EE11EE" w:rsidRPr="008E6E38" w:rsidRDefault="00EE11EE" w:rsidP="008E6E38">
      <w:pPr>
        <w:ind w:firstLineChars="200" w:firstLine="560"/>
        <w:rPr>
          <w:sz w:val="28"/>
          <w:szCs w:val="28"/>
        </w:rPr>
      </w:pPr>
      <w:r w:rsidRPr="008E6E38">
        <w:rPr>
          <w:rFonts w:hint="eastAsia"/>
          <w:sz w:val="28"/>
          <w:szCs w:val="28"/>
        </w:rPr>
        <w:t>参加各类培训，学习各种管理规定，加强与兄弟院校的沟通交流；收集整理对照民政部、教育部、财政部等关于高校基金会管理的最新文件，对校内文件实时进行修订和完善，制定《上海外国语大学教育发展基金会授权管理办法》等。完善已有项目的管理工作，特别加强规范项目的财务报销流程。</w:t>
      </w:r>
    </w:p>
    <w:p w:rsidR="00EE11EE" w:rsidRPr="008E6E38" w:rsidRDefault="00C03D15" w:rsidP="008E6E38">
      <w:pPr>
        <w:ind w:firstLineChars="200" w:firstLine="560"/>
        <w:rPr>
          <w:sz w:val="28"/>
          <w:szCs w:val="28"/>
        </w:rPr>
      </w:pPr>
      <w:r w:rsidRPr="008E6E38">
        <w:rPr>
          <w:rFonts w:hint="eastAsia"/>
          <w:sz w:val="28"/>
          <w:szCs w:val="28"/>
        </w:rPr>
        <w:t>4</w:t>
      </w:r>
      <w:r w:rsidR="008E6E38">
        <w:rPr>
          <w:rFonts w:hint="eastAsia"/>
          <w:sz w:val="28"/>
          <w:szCs w:val="28"/>
        </w:rPr>
        <w:t>、</w:t>
      </w:r>
      <w:r w:rsidR="00EE11EE" w:rsidRPr="008E6E38">
        <w:rPr>
          <w:rFonts w:hint="eastAsia"/>
          <w:sz w:val="28"/>
          <w:szCs w:val="28"/>
        </w:rPr>
        <w:t>完成基金会理事会换届工作</w:t>
      </w:r>
    </w:p>
    <w:p w:rsidR="00EE11EE" w:rsidRPr="008E6E38" w:rsidRDefault="00EE11EE" w:rsidP="008E6E38">
      <w:pPr>
        <w:ind w:firstLineChars="200" w:firstLine="560"/>
        <w:rPr>
          <w:sz w:val="28"/>
          <w:szCs w:val="28"/>
        </w:rPr>
      </w:pPr>
      <w:r w:rsidRPr="008E6E38">
        <w:rPr>
          <w:rFonts w:hint="eastAsia"/>
          <w:sz w:val="28"/>
          <w:szCs w:val="28"/>
        </w:rPr>
        <w:t>按照社团局要求及基金会内控建设管理指导意见，选举产生新一届理事会理事、监事等人选并启动申报慈善组织等事宜。走访基金会理事，沟通换届事宜，产生新一届理事会成员名单。召开</w:t>
      </w:r>
      <w:r w:rsidRPr="008E6E38">
        <w:rPr>
          <w:rFonts w:hint="eastAsia"/>
          <w:sz w:val="28"/>
          <w:szCs w:val="28"/>
        </w:rPr>
        <w:t>2019</w:t>
      </w:r>
      <w:r w:rsidRPr="008E6E38">
        <w:rPr>
          <w:rFonts w:hint="eastAsia"/>
          <w:sz w:val="28"/>
          <w:szCs w:val="28"/>
        </w:rPr>
        <w:t>年度基金会理事会议，完成理事会换届。</w:t>
      </w:r>
    </w:p>
    <w:p w:rsidR="00EE11EE" w:rsidRPr="008E6E38" w:rsidRDefault="00C03D15" w:rsidP="008E6E38">
      <w:pPr>
        <w:ind w:firstLineChars="200" w:firstLine="560"/>
        <w:rPr>
          <w:sz w:val="28"/>
          <w:szCs w:val="28"/>
        </w:rPr>
      </w:pPr>
      <w:r w:rsidRPr="008E6E38">
        <w:rPr>
          <w:rFonts w:hint="eastAsia"/>
          <w:sz w:val="28"/>
          <w:szCs w:val="28"/>
        </w:rPr>
        <w:t>5</w:t>
      </w:r>
      <w:r w:rsidR="008E6E38">
        <w:rPr>
          <w:rFonts w:hint="eastAsia"/>
          <w:sz w:val="28"/>
          <w:szCs w:val="28"/>
        </w:rPr>
        <w:t>、</w:t>
      </w:r>
      <w:r w:rsidR="00EE11EE" w:rsidRPr="008E6E38">
        <w:rPr>
          <w:rFonts w:hint="eastAsia"/>
          <w:sz w:val="28"/>
          <w:szCs w:val="28"/>
        </w:rPr>
        <w:t>捐赠项目商谈及运营</w:t>
      </w:r>
    </w:p>
    <w:p w:rsidR="00EE11EE" w:rsidRDefault="00EE11EE" w:rsidP="008E6E38">
      <w:pPr>
        <w:ind w:firstLineChars="200" w:firstLine="560"/>
        <w:rPr>
          <w:sz w:val="28"/>
          <w:szCs w:val="28"/>
        </w:rPr>
      </w:pPr>
      <w:r w:rsidRPr="008E6E38">
        <w:rPr>
          <w:rFonts w:hint="eastAsia"/>
          <w:sz w:val="28"/>
          <w:szCs w:val="28"/>
        </w:rPr>
        <w:lastRenderedPageBreak/>
        <w:t>完成泽稷教育等捐赠项目的条款商定、协议签订等工作。完成年度项目情况汇报，根据社团局的基金会管理意见，汇报基金会当年项目运行以及财务预算、收支等情况。</w:t>
      </w:r>
    </w:p>
    <w:p w:rsidR="00906873" w:rsidRPr="008E6E38" w:rsidRDefault="00906873" w:rsidP="008E6E38">
      <w:pPr>
        <w:ind w:firstLineChars="200" w:firstLine="560"/>
        <w:rPr>
          <w:sz w:val="28"/>
          <w:szCs w:val="28"/>
        </w:rPr>
      </w:pPr>
    </w:p>
    <w:p w:rsidR="00EE11EE" w:rsidRPr="00906873" w:rsidRDefault="00906873" w:rsidP="00906873">
      <w:pPr>
        <w:rPr>
          <w:b/>
          <w:sz w:val="32"/>
          <w:szCs w:val="32"/>
        </w:rPr>
      </w:pPr>
      <w:r>
        <w:rPr>
          <w:rFonts w:hint="eastAsia"/>
          <w:b/>
          <w:sz w:val="32"/>
          <w:szCs w:val="32"/>
        </w:rPr>
        <w:t>三、</w:t>
      </w:r>
      <w:r w:rsidR="00F102A2" w:rsidRPr="00CC7165">
        <w:rPr>
          <w:rFonts w:hint="eastAsia"/>
          <w:b/>
          <w:sz w:val="28"/>
          <w:szCs w:val="28"/>
        </w:rPr>
        <w:t>财务工作（财务决算审议）汇报</w:t>
      </w:r>
    </w:p>
    <w:p w:rsidR="007222DC" w:rsidRPr="008E6E38" w:rsidRDefault="00DA6101" w:rsidP="007222DC">
      <w:pPr>
        <w:rPr>
          <w:sz w:val="28"/>
          <w:szCs w:val="28"/>
        </w:rPr>
      </w:pPr>
      <w:r>
        <w:rPr>
          <w:rFonts w:hint="eastAsia"/>
          <w:sz w:val="28"/>
          <w:szCs w:val="28"/>
        </w:rPr>
        <w:t xml:space="preserve">    </w:t>
      </w:r>
      <w:r w:rsidR="007222DC" w:rsidRPr="008E6E38">
        <w:rPr>
          <w:rFonts w:hint="eastAsia"/>
          <w:sz w:val="28"/>
          <w:szCs w:val="28"/>
        </w:rPr>
        <w:t>截止</w:t>
      </w:r>
      <w:r w:rsidR="007222DC" w:rsidRPr="008E6E38">
        <w:rPr>
          <w:rFonts w:hint="eastAsia"/>
          <w:sz w:val="28"/>
          <w:szCs w:val="28"/>
        </w:rPr>
        <w:t>2</w:t>
      </w:r>
      <w:r w:rsidR="007222DC" w:rsidRPr="008E6E38">
        <w:rPr>
          <w:sz w:val="28"/>
          <w:szCs w:val="28"/>
        </w:rPr>
        <w:t>019</w:t>
      </w:r>
      <w:r w:rsidR="007222DC" w:rsidRPr="008E6E38">
        <w:rPr>
          <w:rFonts w:hint="eastAsia"/>
          <w:sz w:val="28"/>
          <w:szCs w:val="28"/>
        </w:rPr>
        <w:t>年底，基金会账面总资产为</w:t>
      </w:r>
      <w:r w:rsidR="007222DC" w:rsidRPr="008E6E38">
        <w:rPr>
          <w:sz w:val="28"/>
          <w:szCs w:val="28"/>
        </w:rPr>
        <w:t>36130331.31</w:t>
      </w:r>
      <w:r w:rsidR="007222DC" w:rsidRPr="008E6E38">
        <w:rPr>
          <w:rFonts w:hint="eastAsia"/>
          <w:sz w:val="28"/>
          <w:szCs w:val="28"/>
        </w:rPr>
        <w:t>元，负债总额</w:t>
      </w:r>
      <w:r w:rsidR="007222DC" w:rsidRPr="008E6E38">
        <w:rPr>
          <w:sz w:val="28"/>
          <w:szCs w:val="28"/>
        </w:rPr>
        <w:t>0</w:t>
      </w:r>
      <w:r w:rsidR="007222DC" w:rsidRPr="008E6E38">
        <w:rPr>
          <w:rFonts w:hint="eastAsia"/>
          <w:sz w:val="28"/>
          <w:szCs w:val="28"/>
        </w:rPr>
        <w:t>元，净资产总额</w:t>
      </w:r>
      <w:r w:rsidR="007222DC" w:rsidRPr="008E6E38">
        <w:rPr>
          <w:sz w:val="28"/>
          <w:szCs w:val="28"/>
        </w:rPr>
        <w:t>36130331.31</w:t>
      </w:r>
      <w:r w:rsidR="007222DC" w:rsidRPr="008E6E38">
        <w:rPr>
          <w:rFonts w:hint="eastAsia"/>
          <w:sz w:val="28"/>
          <w:szCs w:val="28"/>
        </w:rPr>
        <w:t>元。</w:t>
      </w:r>
      <w:r w:rsidR="007222DC" w:rsidRPr="008E6E38">
        <w:rPr>
          <w:rFonts w:hint="eastAsia"/>
          <w:sz w:val="28"/>
          <w:szCs w:val="28"/>
        </w:rPr>
        <w:t>2019</w:t>
      </w:r>
      <w:r w:rsidR="007222DC" w:rsidRPr="008E6E38">
        <w:rPr>
          <w:rFonts w:hint="eastAsia"/>
          <w:sz w:val="28"/>
          <w:szCs w:val="28"/>
        </w:rPr>
        <w:t>年度申请获财政部配比款项为</w:t>
      </w:r>
      <w:r w:rsidR="007222DC" w:rsidRPr="008E6E38">
        <w:rPr>
          <w:rFonts w:hint="eastAsia"/>
          <w:sz w:val="28"/>
          <w:szCs w:val="28"/>
        </w:rPr>
        <w:t>2400000</w:t>
      </w:r>
      <w:r w:rsidR="007222DC" w:rsidRPr="008E6E38">
        <w:rPr>
          <w:rFonts w:hint="eastAsia"/>
          <w:sz w:val="28"/>
          <w:szCs w:val="28"/>
        </w:rPr>
        <w:t>元。</w:t>
      </w:r>
      <w:r w:rsidR="007222DC" w:rsidRPr="008E6E38">
        <w:rPr>
          <w:rFonts w:hint="eastAsia"/>
          <w:sz w:val="28"/>
          <w:szCs w:val="28"/>
        </w:rPr>
        <w:t>2019</w:t>
      </w:r>
      <w:r w:rsidR="007222DC" w:rsidRPr="008E6E38">
        <w:rPr>
          <w:rFonts w:hint="eastAsia"/>
          <w:sz w:val="28"/>
          <w:szCs w:val="28"/>
        </w:rPr>
        <w:t>年度新增收入与财政配比收入总和为</w:t>
      </w:r>
      <w:r w:rsidR="007222DC" w:rsidRPr="008E6E38">
        <w:rPr>
          <w:rFonts w:hint="eastAsia"/>
          <w:sz w:val="28"/>
          <w:szCs w:val="28"/>
        </w:rPr>
        <w:t>8195810</w:t>
      </w:r>
      <w:r w:rsidR="007222DC" w:rsidRPr="008E6E38">
        <w:rPr>
          <w:rFonts w:hint="eastAsia"/>
          <w:sz w:val="28"/>
          <w:szCs w:val="28"/>
        </w:rPr>
        <w:t>元。截止到</w:t>
      </w:r>
      <w:r w:rsidR="007222DC" w:rsidRPr="008E6E38">
        <w:rPr>
          <w:rFonts w:hint="eastAsia"/>
          <w:sz w:val="28"/>
          <w:szCs w:val="28"/>
        </w:rPr>
        <w:t>2019</w:t>
      </w:r>
      <w:r w:rsidR="007222DC" w:rsidRPr="008E6E38">
        <w:rPr>
          <w:rFonts w:hint="eastAsia"/>
          <w:sz w:val="28"/>
          <w:szCs w:val="28"/>
        </w:rPr>
        <w:t>年</w:t>
      </w:r>
      <w:r w:rsidR="007222DC" w:rsidRPr="008E6E38">
        <w:rPr>
          <w:rFonts w:hint="eastAsia"/>
          <w:sz w:val="28"/>
          <w:szCs w:val="28"/>
        </w:rPr>
        <w:t>12</w:t>
      </w:r>
      <w:r w:rsidR="007222DC" w:rsidRPr="008E6E38">
        <w:rPr>
          <w:rFonts w:hint="eastAsia"/>
          <w:sz w:val="28"/>
          <w:szCs w:val="28"/>
        </w:rPr>
        <w:t>月</w:t>
      </w:r>
      <w:r w:rsidR="007222DC" w:rsidRPr="008E6E38">
        <w:rPr>
          <w:rFonts w:hint="eastAsia"/>
          <w:sz w:val="28"/>
          <w:szCs w:val="28"/>
        </w:rPr>
        <w:t>31</w:t>
      </w:r>
      <w:r w:rsidR="007222DC" w:rsidRPr="008E6E38">
        <w:rPr>
          <w:rFonts w:hint="eastAsia"/>
          <w:sz w:val="28"/>
          <w:szCs w:val="28"/>
        </w:rPr>
        <w:t>日基金会账户余额为</w:t>
      </w:r>
      <w:r w:rsidR="007222DC" w:rsidRPr="008E6E38">
        <w:rPr>
          <w:rFonts w:hint="eastAsia"/>
          <w:sz w:val="28"/>
          <w:szCs w:val="28"/>
        </w:rPr>
        <w:t>36130331.31</w:t>
      </w:r>
      <w:r w:rsidR="007222DC" w:rsidRPr="008E6E38">
        <w:rPr>
          <w:rFonts w:hint="eastAsia"/>
          <w:sz w:val="28"/>
          <w:szCs w:val="28"/>
        </w:rPr>
        <w:t>元。</w:t>
      </w:r>
    </w:p>
    <w:p w:rsidR="007222DC" w:rsidRPr="008E6E38" w:rsidRDefault="007222DC" w:rsidP="00224406">
      <w:pPr>
        <w:ind w:firstLineChars="200" w:firstLine="560"/>
        <w:rPr>
          <w:sz w:val="28"/>
          <w:szCs w:val="28"/>
        </w:rPr>
      </w:pPr>
      <w:r w:rsidRPr="008E6E38">
        <w:rPr>
          <w:sz w:val="28"/>
          <w:szCs w:val="28"/>
        </w:rPr>
        <w:t xml:space="preserve">2019 </w:t>
      </w:r>
      <w:r w:rsidRPr="008E6E38">
        <w:rPr>
          <w:sz w:val="28"/>
          <w:szCs w:val="28"/>
        </w:rPr>
        <w:t>年</w:t>
      </w:r>
      <w:r w:rsidRPr="008E6E38">
        <w:rPr>
          <w:rFonts w:hint="eastAsia"/>
          <w:sz w:val="28"/>
          <w:szCs w:val="28"/>
        </w:rPr>
        <w:t>，</w:t>
      </w:r>
      <w:r w:rsidRPr="008E6E38">
        <w:rPr>
          <w:sz w:val="28"/>
          <w:szCs w:val="28"/>
        </w:rPr>
        <w:t>基金会总收入</w:t>
      </w:r>
      <w:r w:rsidRPr="008E6E38">
        <w:rPr>
          <w:rFonts w:hint="eastAsia"/>
          <w:sz w:val="28"/>
          <w:szCs w:val="28"/>
        </w:rPr>
        <w:t>1</w:t>
      </w:r>
      <w:r w:rsidRPr="008E6E38">
        <w:rPr>
          <w:sz w:val="28"/>
          <w:szCs w:val="28"/>
        </w:rPr>
        <w:t>0148632.88</w:t>
      </w:r>
      <w:r w:rsidRPr="008E6E38">
        <w:rPr>
          <w:sz w:val="28"/>
          <w:szCs w:val="28"/>
        </w:rPr>
        <w:t>元。其中，捐赠收入</w:t>
      </w:r>
      <w:r w:rsidRPr="008E6E38">
        <w:rPr>
          <w:sz w:val="28"/>
          <w:szCs w:val="28"/>
        </w:rPr>
        <w:t xml:space="preserve"> 9857056.53 </w:t>
      </w:r>
      <w:r w:rsidRPr="008E6E38">
        <w:rPr>
          <w:sz w:val="28"/>
          <w:szCs w:val="28"/>
        </w:rPr>
        <w:t>元，占总收入的</w:t>
      </w:r>
      <w:r w:rsidRPr="008E6E38">
        <w:rPr>
          <w:rFonts w:hint="eastAsia"/>
          <w:sz w:val="28"/>
          <w:szCs w:val="28"/>
        </w:rPr>
        <w:t>97.13%</w:t>
      </w:r>
      <w:r w:rsidRPr="008E6E38">
        <w:rPr>
          <w:sz w:val="28"/>
          <w:szCs w:val="28"/>
        </w:rPr>
        <w:t>；其他收入</w:t>
      </w:r>
      <w:r w:rsidRPr="008E6E38">
        <w:rPr>
          <w:sz w:val="28"/>
          <w:szCs w:val="28"/>
        </w:rPr>
        <w:t xml:space="preserve"> 291576.35 </w:t>
      </w:r>
      <w:r w:rsidRPr="008E6E38">
        <w:rPr>
          <w:sz w:val="28"/>
          <w:szCs w:val="28"/>
        </w:rPr>
        <w:t>元，占总收入的</w:t>
      </w:r>
      <w:r w:rsidRPr="008E6E38">
        <w:rPr>
          <w:rFonts w:hint="eastAsia"/>
          <w:sz w:val="28"/>
          <w:szCs w:val="28"/>
        </w:rPr>
        <w:t>2.87%</w:t>
      </w:r>
      <w:r w:rsidRPr="008E6E38">
        <w:rPr>
          <w:rFonts w:hint="eastAsia"/>
          <w:sz w:val="28"/>
          <w:szCs w:val="28"/>
        </w:rPr>
        <w:t>。</w:t>
      </w:r>
      <w:r w:rsidRPr="008E6E38">
        <w:rPr>
          <w:sz w:val="28"/>
          <w:szCs w:val="28"/>
        </w:rPr>
        <w:t>201</w:t>
      </w:r>
      <w:r w:rsidRPr="008E6E38">
        <w:rPr>
          <w:rFonts w:hint="eastAsia"/>
          <w:sz w:val="28"/>
          <w:szCs w:val="28"/>
        </w:rPr>
        <w:t>9</w:t>
      </w:r>
      <w:r w:rsidRPr="008E6E38">
        <w:rPr>
          <w:sz w:val="28"/>
          <w:szCs w:val="28"/>
        </w:rPr>
        <w:t>年度基金会总支出</w:t>
      </w:r>
      <w:r w:rsidRPr="008E6E38">
        <w:rPr>
          <w:sz w:val="28"/>
          <w:szCs w:val="28"/>
        </w:rPr>
        <w:t xml:space="preserve"> 730215.75 </w:t>
      </w:r>
      <w:r w:rsidRPr="008E6E38">
        <w:rPr>
          <w:sz w:val="28"/>
          <w:szCs w:val="28"/>
        </w:rPr>
        <w:t>元。其中，业务活动成本即</w:t>
      </w:r>
      <w:r w:rsidRPr="008E6E38">
        <w:rPr>
          <w:rFonts w:hint="eastAsia"/>
          <w:sz w:val="28"/>
          <w:szCs w:val="28"/>
        </w:rPr>
        <w:t>公益项目</w:t>
      </w:r>
      <w:r w:rsidRPr="008E6E38">
        <w:rPr>
          <w:sz w:val="28"/>
          <w:szCs w:val="28"/>
        </w:rPr>
        <w:t>支出</w:t>
      </w:r>
      <w:r w:rsidRPr="008E6E38">
        <w:rPr>
          <w:sz w:val="28"/>
          <w:szCs w:val="28"/>
        </w:rPr>
        <w:t xml:space="preserve"> 707267.25 </w:t>
      </w:r>
      <w:r w:rsidRPr="008E6E38">
        <w:rPr>
          <w:sz w:val="28"/>
          <w:szCs w:val="28"/>
        </w:rPr>
        <w:t>元，占总支出的</w:t>
      </w:r>
      <w:r w:rsidRPr="008E6E38">
        <w:rPr>
          <w:rFonts w:hint="eastAsia"/>
          <w:sz w:val="28"/>
          <w:szCs w:val="28"/>
        </w:rPr>
        <w:t>96.86%</w:t>
      </w:r>
      <w:r w:rsidRPr="008E6E38">
        <w:rPr>
          <w:sz w:val="28"/>
          <w:szCs w:val="28"/>
        </w:rPr>
        <w:t>；管理费用</w:t>
      </w:r>
      <w:r w:rsidRPr="008E6E38">
        <w:rPr>
          <w:sz w:val="28"/>
          <w:szCs w:val="28"/>
        </w:rPr>
        <w:t xml:space="preserve"> 22628.5 </w:t>
      </w:r>
      <w:r w:rsidRPr="008E6E38">
        <w:rPr>
          <w:sz w:val="28"/>
          <w:szCs w:val="28"/>
        </w:rPr>
        <w:t>元，占总支出的</w:t>
      </w:r>
      <w:r w:rsidRPr="008E6E38">
        <w:rPr>
          <w:rFonts w:hint="eastAsia"/>
          <w:sz w:val="28"/>
          <w:szCs w:val="28"/>
        </w:rPr>
        <w:t>3.10%</w:t>
      </w:r>
      <w:r w:rsidRPr="008E6E38">
        <w:rPr>
          <w:rFonts w:hint="eastAsia"/>
          <w:sz w:val="28"/>
          <w:szCs w:val="28"/>
        </w:rPr>
        <w:t>；</w:t>
      </w:r>
      <w:r w:rsidRPr="008E6E38">
        <w:rPr>
          <w:sz w:val="28"/>
          <w:szCs w:val="28"/>
        </w:rPr>
        <w:t>筹资费用</w:t>
      </w:r>
      <w:r w:rsidRPr="008E6E38">
        <w:rPr>
          <w:sz w:val="28"/>
          <w:szCs w:val="28"/>
        </w:rPr>
        <w:t xml:space="preserve">320 </w:t>
      </w:r>
      <w:r w:rsidRPr="008E6E38">
        <w:rPr>
          <w:sz w:val="28"/>
          <w:szCs w:val="28"/>
        </w:rPr>
        <w:t>元，占总支出的</w:t>
      </w:r>
      <w:r w:rsidRPr="008E6E38">
        <w:rPr>
          <w:rFonts w:hint="eastAsia"/>
          <w:sz w:val="28"/>
          <w:szCs w:val="28"/>
        </w:rPr>
        <w:t>0.04%</w:t>
      </w:r>
      <w:r w:rsidRPr="008E6E38">
        <w:rPr>
          <w:rFonts w:hint="eastAsia"/>
          <w:sz w:val="28"/>
          <w:szCs w:val="28"/>
        </w:rPr>
        <w:t>。</w:t>
      </w:r>
    </w:p>
    <w:p w:rsidR="007222DC" w:rsidRPr="007222DC" w:rsidRDefault="007222DC" w:rsidP="00224406">
      <w:pPr>
        <w:ind w:firstLineChars="200" w:firstLine="420"/>
        <w:rPr>
          <w:rFonts w:ascii="等线" w:eastAsia="等线" w:hAnsi="等线" w:cs="Times New Roman"/>
          <w:szCs w:val="21"/>
        </w:rPr>
      </w:pPr>
    </w:p>
    <w:p w:rsidR="007222DC" w:rsidRPr="005F0015" w:rsidRDefault="007222DC" w:rsidP="007222DC">
      <w:pPr>
        <w:jc w:val="left"/>
        <w:rPr>
          <w:sz w:val="28"/>
          <w:szCs w:val="28"/>
        </w:rPr>
      </w:pPr>
      <w:r w:rsidRPr="005F0015">
        <w:rPr>
          <w:sz w:val="28"/>
          <w:szCs w:val="28"/>
        </w:rPr>
        <w:t>2019</w:t>
      </w:r>
      <w:r w:rsidRPr="005F0015">
        <w:rPr>
          <w:rFonts w:hint="eastAsia"/>
          <w:sz w:val="28"/>
          <w:szCs w:val="28"/>
        </w:rPr>
        <w:t>年总</w:t>
      </w:r>
      <w:r w:rsidRPr="005F0015">
        <w:rPr>
          <w:sz w:val="28"/>
          <w:szCs w:val="28"/>
        </w:rPr>
        <w:t>收入情况</w:t>
      </w:r>
      <w:r w:rsidRPr="005F0015">
        <w:rPr>
          <w:rFonts w:hint="eastAsia"/>
          <w:sz w:val="28"/>
          <w:szCs w:val="28"/>
        </w:rPr>
        <w:t>表</w:t>
      </w:r>
      <w:r w:rsidRPr="005F0015">
        <w:rPr>
          <w:rFonts w:hint="eastAsia"/>
          <w:sz w:val="28"/>
          <w:szCs w:val="28"/>
        </w:rPr>
        <w:t xml:space="preserve">  </w:t>
      </w:r>
      <w:r w:rsidRPr="005F0015">
        <w:rPr>
          <w:rFonts w:hint="eastAsia"/>
          <w:sz w:val="28"/>
          <w:szCs w:val="28"/>
        </w:rPr>
        <w:t>单位：元</w:t>
      </w:r>
    </w:p>
    <w:tbl>
      <w:tblPr>
        <w:tblW w:w="11343" w:type="dxa"/>
        <w:jc w:val="center"/>
        <w:tblInd w:w="-1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0"/>
        <w:gridCol w:w="4247"/>
        <w:gridCol w:w="4116"/>
      </w:tblGrid>
      <w:tr w:rsidR="007222DC" w:rsidRPr="008E6E38" w:rsidTr="005F0015">
        <w:trPr>
          <w:jc w:val="center"/>
        </w:trPr>
        <w:tc>
          <w:tcPr>
            <w:tcW w:w="2980" w:type="dxa"/>
            <w:shd w:val="clear" w:color="auto" w:fill="auto"/>
          </w:tcPr>
          <w:p w:rsidR="007222DC" w:rsidRPr="008E6E38" w:rsidRDefault="007222DC" w:rsidP="007222DC">
            <w:pPr>
              <w:jc w:val="center"/>
              <w:rPr>
                <w:rFonts w:ascii="等线" w:eastAsia="等线" w:hAnsi="等线" w:cs="Times New Roman"/>
                <w:szCs w:val="21"/>
              </w:rPr>
            </w:pPr>
            <w:r w:rsidRPr="008E6E38">
              <w:rPr>
                <w:rFonts w:ascii="等线" w:eastAsia="等线" w:hAnsi="等线" w:cs="Times New Roman" w:hint="eastAsia"/>
                <w:szCs w:val="21"/>
              </w:rPr>
              <w:t>类别</w:t>
            </w:r>
          </w:p>
        </w:tc>
        <w:tc>
          <w:tcPr>
            <w:tcW w:w="4247"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金额</w:t>
            </w:r>
            <w:bookmarkStart w:id="0" w:name="_GoBack"/>
            <w:bookmarkEnd w:id="0"/>
          </w:p>
        </w:tc>
        <w:tc>
          <w:tcPr>
            <w:tcW w:w="4116"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占比</w:t>
            </w:r>
          </w:p>
        </w:tc>
      </w:tr>
      <w:tr w:rsidR="007222DC" w:rsidRPr="008E6E38" w:rsidTr="005F0015">
        <w:trPr>
          <w:jc w:val="center"/>
        </w:trPr>
        <w:tc>
          <w:tcPr>
            <w:tcW w:w="2980"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lastRenderedPageBreak/>
              <w:t>一、捐赠收入</w:t>
            </w:r>
          </w:p>
        </w:tc>
        <w:tc>
          <w:tcPr>
            <w:tcW w:w="4247"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9</w:t>
            </w:r>
            <w:r w:rsidRPr="008E6E38">
              <w:rPr>
                <w:rFonts w:ascii="等线" w:eastAsia="等线" w:hAnsi="等线" w:cs="Times New Roman"/>
                <w:szCs w:val="21"/>
              </w:rPr>
              <w:t>857056.53</w:t>
            </w:r>
          </w:p>
        </w:tc>
        <w:tc>
          <w:tcPr>
            <w:tcW w:w="4116"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97.13%</w:t>
            </w:r>
          </w:p>
        </w:tc>
      </w:tr>
      <w:tr w:rsidR="007222DC" w:rsidRPr="008E6E38" w:rsidTr="005F0015">
        <w:trPr>
          <w:jc w:val="center"/>
        </w:trPr>
        <w:tc>
          <w:tcPr>
            <w:tcW w:w="2980"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二、其他收入</w:t>
            </w:r>
          </w:p>
        </w:tc>
        <w:tc>
          <w:tcPr>
            <w:tcW w:w="4247"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91576.35</w:t>
            </w:r>
          </w:p>
        </w:tc>
        <w:tc>
          <w:tcPr>
            <w:tcW w:w="4116"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2.87%</w:t>
            </w:r>
          </w:p>
        </w:tc>
      </w:tr>
      <w:tr w:rsidR="007222DC" w:rsidRPr="008E6E38" w:rsidTr="005F0015">
        <w:trPr>
          <w:jc w:val="center"/>
        </w:trPr>
        <w:tc>
          <w:tcPr>
            <w:tcW w:w="2980"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收入合计</w:t>
            </w:r>
          </w:p>
        </w:tc>
        <w:tc>
          <w:tcPr>
            <w:tcW w:w="4247"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1</w:t>
            </w:r>
            <w:r w:rsidRPr="008E6E38">
              <w:rPr>
                <w:rFonts w:ascii="等线" w:eastAsia="等线" w:hAnsi="等线" w:cs="Times New Roman"/>
                <w:szCs w:val="21"/>
              </w:rPr>
              <w:t>0148632.88</w:t>
            </w:r>
          </w:p>
        </w:tc>
        <w:tc>
          <w:tcPr>
            <w:tcW w:w="4116"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100%</w:t>
            </w:r>
          </w:p>
        </w:tc>
      </w:tr>
    </w:tbl>
    <w:p w:rsidR="00C03D15" w:rsidRPr="008E6E38" w:rsidRDefault="00C03D15" w:rsidP="007222DC">
      <w:pPr>
        <w:rPr>
          <w:rFonts w:ascii="等线" w:eastAsia="等线" w:hAnsi="等线" w:cs="Times New Roman"/>
          <w:szCs w:val="21"/>
        </w:rPr>
      </w:pPr>
    </w:p>
    <w:p w:rsidR="008E6E38" w:rsidRPr="005F0015" w:rsidRDefault="007222DC" w:rsidP="007222DC">
      <w:pPr>
        <w:rPr>
          <w:sz w:val="28"/>
          <w:szCs w:val="28"/>
        </w:rPr>
      </w:pPr>
      <w:r w:rsidRPr="005F0015">
        <w:rPr>
          <w:sz w:val="28"/>
          <w:szCs w:val="28"/>
        </w:rPr>
        <w:t>2019</w:t>
      </w:r>
      <w:r w:rsidRPr="005F0015">
        <w:rPr>
          <w:rFonts w:hint="eastAsia"/>
          <w:sz w:val="28"/>
          <w:szCs w:val="28"/>
        </w:rPr>
        <w:t>年总支出情况表</w:t>
      </w:r>
      <w:r w:rsidR="005F0015">
        <w:rPr>
          <w:rFonts w:hint="eastAsia"/>
          <w:sz w:val="28"/>
          <w:szCs w:val="28"/>
        </w:rPr>
        <w:t>（</w:t>
      </w:r>
      <w:r w:rsidR="005F0015" w:rsidRPr="005F0015">
        <w:rPr>
          <w:rFonts w:hint="eastAsia"/>
          <w:sz w:val="28"/>
          <w:szCs w:val="28"/>
        </w:rPr>
        <w:t>单位：元</w:t>
      </w:r>
      <w:r w:rsidRPr="005F0015">
        <w:rPr>
          <w:rFonts w:hint="eastAsia"/>
          <w:sz w:val="28"/>
          <w:szCs w:val="28"/>
        </w:rPr>
        <w:t xml:space="preserve">  </w:t>
      </w:r>
      <w:r w:rsidR="005F0015">
        <w:rPr>
          <w:rFonts w:hint="eastAsia"/>
          <w:sz w:val="28"/>
          <w:szCs w:val="28"/>
        </w:rPr>
        <w:t>）</w:t>
      </w:r>
    </w:p>
    <w:tbl>
      <w:tblPr>
        <w:tblW w:w="11337" w:type="dxa"/>
        <w:jc w:val="center"/>
        <w:tblInd w:w="-2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4"/>
        <w:gridCol w:w="2488"/>
        <w:gridCol w:w="3755"/>
      </w:tblGrid>
      <w:tr w:rsidR="007222DC" w:rsidRPr="008E6E38" w:rsidTr="005F0015">
        <w:trPr>
          <w:jc w:val="center"/>
        </w:trPr>
        <w:tc>
          <w:tcPr>
            <w:tcW w:w="5094" w:type="dxa"/>
            <w:shd w:val="clear" w:color="auto" w:fill="auto"/>
          </w:tcPr>
          <w:p w:rsidR="007222DC" w:rsidRPr="008E6E38" w:rsidRDefault="007222DC" w:rsidP="007222DC">
            <w:pPr>
              <w:jc w:val="center"/>
              <w:rPr>
                <w:rFonts w:ascii="等线" w:eastAsia="等线" w:hAnsi="等线" w:cs="Times New Roman"/>
                <w:szCs w:val="21"/>
              </w:rPr>
            </w:pPr>
            <w:r w:rsidRPr="008E6E38">
              <w:rPr>
                <w:rFonts w:ascii="等线" w:eastAsia="等线" w:hAnsi="等线" w:cs="Times New Roman" w:hint="eastAsia"/>
                <w:szCs w:val="21"/>
              </w:rPr>
              <w:t>类别</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金额</w:t>
            </w:r>
          </w:p>
        </w:tc>
        <w:tc>
          <w:tcPr>
            <w:tcW w:w="3755"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占比</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一、业务活动成本</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7</w:t>
            </w:r>
            <w:r w:rsidRPr="008E6E38">
              <w:rPr>
                <w:rFonts w:ascii="等线" w:eastAsia="等线" w:hAnsi="等线" w:cs="Times New Roman"/>
                <w:szCs w:val="21"/>
              </w:rPr>
              <w:t>07267.25</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96.86%</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二、管理费用</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2628.5</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3.10%</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其中：1、工资福利支出</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szCs w:val="21"/>
              </w:rPr>
              <w:t>4800</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0.66%</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szCs w:val="21"/>
              </w:rPr>
              <w:t xml:space="preserve">         2</w:t>
            </w:r>
            <w:r w:rsidRPr="008E6E38">
              <w:rPr>
                <w:rFonts w:ascii="等线" w:eastAsia="等线" w:hAnsi="等线" w:cs="Times New Roman" w:hint="eastAsia"/>
                <w:szCs w:val="21"/>
              </w:rPr>
              <w:t>、行政办公支出</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1</w:t>
            </w:r>
            <w:r w:rsidRPr="008E6E38">
              <w:rPr>
                <w:rFonts w:ascii="等线" w:eastAsia="等线" w:hAnsi="等线" w:cs="Times New Roman"/>
                <w:szCs w:val="21"/>
              </w:rPr>
              <w:t>7828.5</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2.44%</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三．筹资费用</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3</w:t>
            </w:r>
            <w:r w:rsidRPr="008E6E38">
              <w:rPr>
                <w:rFonts w:ascii="等线" w:eastAsia="等线" w:hAnsi="等线" w:cs="Times New Roman"/>
                <w:szCs w:val="21"/>
              </w:rPr>
              <w:t>20</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0.04%</w:t>
            </w:r>
          </w:p>
        </w:tc>
      </w:tr>
      <w:tr w:rsidR="007222DC" w:rsidRPr="008E6E38" w:rsidTr="005F0015">
        <w:trPr>
          <w:jc w:val="center"/>
        </w:trPr>
        <w:tc>
          <w:tcPr>
            <w:tcW w:w="5094" w:type="dxa"/>
            <w:shd w:val="clear" w:color="auto" w:fill="auto"/>
          </w:tcPr>
          <w:p w:rsidR="007222DC" w:rsidRPr="008E6E38" w:rsidRDefault="007222DC" w:rsidP="007222DC">
            <w:pPr>
              <w:ind w:firstLineChars="200" w:firstLine="420"/>
              <w:rPr>
                <w:rFonts w:ascii="等线" w:eastAsia="等线" w:hAnsi="等线" w:cs="Times New Roman"/>
                <w:szCs w:val="21"/>
              </w:rPr>
            </w:pPr>
            <w:r w:rsidRPr="008E6E38">
              <w:rPr>
                <w:rFonts w:ascii="等线" w:eastAsia="等线" w:hAnsi="等线" w:cs="Times New Roman" w:hint="eastAsia"/>
                <w:szCs w:val="21"/>
              </w:rPr>
              <w:t>其中：1、手续费</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3</w:t>
            </w:r>
            <w:r w:rsidRPr="008E6E38">
              <w:rPr>
                <w:rFonts w:ascii="等线" w:eastAsia="等线" w:hAnsi="等线" w:cs="Times New Roman"/>
                <w:szCs w:val="21"/>
              </w:rPr>
              <w:t>20</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0.04%</w:t>
            </w:r>
          </w:p>
        </w:tc>
      </w:tr>
      <w:tr w:rsidR="007222DC" w:rsidRPr="008E6E38" w:rsidTr="005F0015">
        <w:trPr>
          <w:jc w:val="center"/>
        </w:trPr>
        <w:tc>
          <w:tcPr>
            <w:tcW w:w="5094" w:type="dxa"/>
            <w:shd w:val="clear" w:color="auto" w:fill="auto"/>
          </w:tcPr>
          <w:p w:rsidR="007222DC" w:rsidRPr="008E6E38" w:rsidRDefault="007222DC" w:rsidP="007222DC">
            <w:pPr>
              <w:rPr>
                <w:rFonts w:ascii="等线" w:eastAsia="等线" w:hAnsi="等线" w:cs="Times New Roman"/>
                <w:szCs w:val="21"/>
              </w:rPr>
            </w:pPr>
            <w:r w:rsidRPr="008E6E38">
              <w:rPr>
                <w:rFonts w:ascii="等线" w:eastAsia="等线" w:hAnsi="等线" w:cs="Times New Roman" w:hint="eastAsia"/>
                <w:szCs w:val="21"/>
              </w:rPr>
              <w:t>费用合计</w:t>
            </w:r>
          </w:p>
        </w:tc>
        <w:tc>
          <w:tcPr>
            <w:tcW w:w="2488" w:type="dxa"/>
            <w:shd w:val="clear" w:color="auto" w:fill="auto"/>
          </w:tcPr>
          <w:p w:rsidR="007222DC" w:rsidRPr="008E6E38" w:rsidRDefault="007222DC" w:rsidP="008E6E38">
            <w:pPr>
              <w:jc w:val="center"/>
              <w:rPr>
                <w:rFonts w:ascii="等线" w:eastAsia="等线" w:hAnsi="等线" w:cs="Times New Roman"/>
                <w:szCs w:val="21"/>
              </w:rPr>
            </w:pPr>
            <w:r w:rsidRPr="008E6E38">
              <w:rPr>
                <w:rFonts w:ascii="等线" w:eastAsia="等线" w:hAnsi="等线" w:cs="Times New Roman" w:hint="eastAsia"/>
                <w:szCs w:val="21"/>
              </w:rPr>
              <w:t>7</w:t>
            </w:r>
            <w:r w:rsidRPr="008E6E38">
              <w:rPr>
                <w:rFonts w:ascii="等线" w:eastAsia="等线" w:hAnsi="等线" w:cs="Times New Roman"/>
                <w:szCs w:val="21"/>
              </w:rPr>
              <w:t>30215.75</w:t>
            </w:r>
          </w:p>
        </w:tc>
        <w:tc>
          <w:tcPr>
            <w:tcW w:w="3755" w:type="dxa"/>
            <w:shd w:val="clear" w:color="auto" w:fill="auto"/>
          </w:tcPr>
          <w:p w:rsidR="007222DC" w:rsidRPr="008E6E38" w:rsidRDefault="007222DC" w:rsidP="008E6E38">
            <w:pPr>
              <w:widowControl/>
              <w:jc w:val="center"/>
              <w:rPr>
                <w:rFonts w:ascii="Verdana" w:eastAsia="宋体" w:hAnsi="Verdana" w:cs="宋体"/>
                <w:color w:val="333333"/>
                <w:kern w:val="0"/>
                <w:szCs w:val="21"/>
              </w:rPr>
            </w:pPr>
            <w:r w:rsidRPr="008E6E38">
              <w:rPr>
                <w:rFonts w:ascii="Verdana" w:eastAsia="宋体" w:hAnsi="Verdana" w:cs="宋体" w:hint="eastAsia"/>
                <w:color w:val="333333"/>
                <w:kern w:val="0"/>
                <w:szCs w:val="21"/>
              </w:rPr>
              <w:t>100%</w:t>
            </w:r>
          </w:p>
        </w:tc>
      </w:tr>
    </w:tbl>
    <w:p w:rsidR="00C03D15" w:rsidRPr="005F0015" w:rsidRDefault="00C03D15" w:rsidP="00C03D15">
      <w:pPr>
        <w:rPr>
          <w:sz w:val="28"/>
          <w:szCs w:val="28"/>
        </w:rPr>
      </w:pPr>
      <w:r w:rsidRPr="005F0015">
        <w:rPr>
          <w:rFonts w:hint="eastAsia"/>
          <w:sz w:val="28"/>
          <w:szCs w:val="28"/>
        </w:rPr>
        <w:lastRenderedPageBreak/>
        <w:t>20</w:t>
      </w:r>
      <w:r w:rsidRPr="005F0015">
        <w:rPr>
          <w:sz w:val="28"/>
          <w:szCs w:val="28"/>
        </w:rPr>
        <w:t>19</w:t>
      </w:r>
      <w:r w:rsidRPr="005F0015">
        <w:rPr>
          <w:rFonts w:hint="eastAsia"/>
          <w:sz w:val="28"/>
          <w:szCs w:val="28"/>
        </w:rPr>
        <w:t>年度</w:t>
      </w:r>
      <w:r w:rsidRPr="005F0015">
        <w:rPr>
          <w:sz w:val="28"/>
          <w:szCs w:val="28"/>
        </w:rPr>
        <w:t>预</w:t>
      </w:r>
      <w:r w:rsidRPr="005F0015">
        <w:rPr>
          <w:rFonts w:hint="eastAsia"/>
          <w:sz w:val="28"/>
          <w:szCs w:val="28"/>
        </w:rPr>
        <w:t>决</w:t>
      </w:r>
      <w:r w:rsidRPr="005F0015">
        <w:rPr>
          <w:sz w:val="28"/>
          <w:szCs w:val="28"/>
        </w:rPr>
        <w:t>算表：</w:t>
      </w:r>
    </w:p>
    <w:tbl>
      <w:tblPr>
        <w:tblW w:w="11388" w:type="dxa"/>
        <w:jc w:val="center"/>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tblPr>
      <w:tblGrid>
        <w:gridCol w:w="3734"/>
        <w:gridCol w:w="1276"/>
        <w:gridCol w:w="1417"/>
        <w:gridCol w:w="1529"/>
        <w:gridCol w:w="3432"/>
      </w:tblGrid>
      <w:tr w:rsidR="00C03D15" w:rsidRPr="00C03D15" w:rsidTr="005F0015">
        <w:trPr>
          <w:trHeight w:val="323"/>
          <w:jc w:val="center"/>
        </w:trPr>
        <w:tc>
          <w:tcPr>
            <w:tcW w:w="3734" w:type="dxa"/>
            <w:vMerge w:val="restart"/>
            <w:shd w:val="clear" w:color="auto" w:fill="FFFFFF" w:themeFill="background1"/>
            <w:tcMar>
              <w:top w:w="12" w:type="dxa"/>
              <w:left w:w="12" w:type="dxa"/>
              <w:bottom w:w="0" w:type="dxa"/>
              <w:right w:w="12" w:type="dxa"/>
            </w:tcMar>
            <w:vAlign w:val="center"/>
            <w:hideMark/>
          </w:tcPr>
          <w:p w:rsidR="00C03D15" w:rsidRPr="00C03D15" w:rsidRDefault="00C03D15" w:rsidP="00C03D15">
            <w:r w:rsidRPr="00C03D15">
              <w:rPr>
                <w:rFonts w:hint="eastAsia"/>
              </w:rPr>
              <w:t>项目</w:t>
            </w:r>
          </w:p>
        </w:tc>
        <w:tc>
          <w:tcPr>
            <w:tcW w:w="1276" w:type="dxa"/>
            <w:vMerge w:val="restart"/>
            <w:shd w:val="clear" w:color="auto" w:fill="FFFFFF" w:themeFill="background1"/>
            <w:tcMar>
              <w:top w:w="12" w:type="dxa"/>
              <w:left w:w="12" w:type="dxa"/>
              <w:bottom w:w="0" w:type="dxa"/>
              <w:right w:w="12" w:type="dxa"/>
            </w:tcMar>
            <w:vAlign w:val="center"/>
            <w:hideMark/>
          </w:tcPr>
          <w:p w:rsidR="00C03D15" w:rsidRPr="00C03D15" w:rsidRDefault="00C03D15" w:rsidP="008E6E38">
            <w:pPr>
              <w:jc w:val="center"/>
            </w:pPr>
            <w:r w:rsidRPr="00C03D15">
              <w:rPr>
                <w:rFonts w:hint="eastAsia"/>
              </w:rPr>
              <w:t>行次</w:t>
            </w:r>
          </w:p>
        </w:tc>
        <w:tc>
          <w:tcPr>
            <w:tcW w:w="1417" w:type="dxa"/>
            <w:shd w:val="clear" w:color="auto" w:fill="FFFFFF" w:themeFill="background1"/>
          </w:tcPr>
          <w:p w:rsidR="00C03D15" w:rsidRPr="00C03D15" w:rsidRDefault="00C03D15" w:rsidP="008E6E38">
            <w:pPr>
              <w:jc w:val="center"/>
            </w:pPr>
            <w:r w:rsidRPr="00C03D15">
              <w:rPr>
                <w:rFonts w:hint="eastAsia"/>
              </w:rPr>
              <w:t>预算金额</w:t>
            </w:r>
          </w:p>
        </w:tc>
        <w:tc>
          <w:tcPr>
            <w:tcW w:w="1529" w:type="dxa"/>
            <w:shd w:val="clear" w:color="auto" w:fill="FFFFFF" w:themeFill="background1"/>
          </w:tcPr>
          <w:p w:rsidR="00C03D15" w:rsidRPr="00C03D15" w:rsidRDefault="00C03D15" w:rsidP="008E6E38">
            <w:pPr>
              <w:jc w:val="center"/>
            </w:pPr>
            <w:r w:rsidRPr="00C03D15">
              <w:rPr>
                <w:rFonts w:hint="eastAsia"/>
              </w:rPr>
              <w:t>决算金额</w:t>
            </w:r>
          </w:p>
        </w:tc>
        <w:tc>
          <w:tcPr>
            <w:tcW w:w="3432" w:type="dxa"/>
            <w:shd w:val="clear" w:color="auto" w:fill="FFFFFF" w:themeFill="background1"/>
          </w:tcPr>
          <w:p w:rsidR="00C03D15" w:rsidRPr="00C03D15" w:rsidRDefault="00C03D15" w:rsidP="008E6E38">
            <w:pPr>
              <w:jc w:val="center"/>
            </w:pPr>
          </w:p>
        </w:tc>
      </w:tr>
      <w:tr w:rsidR="00C03D15" w:rsidRPr="00C03D15" w:rsidTr="005F0015">
        <w:trPr>
          <w:trHeight w:val="323"/>
          <w:jc w:val="center"/>
        </w:trPr>
        <w:tc>
          <w:tcPr>
            <w:tcW w:w="3734" w:type="dxa"/>
            <w:vMerge/>
            <w:shd w:val="clear" w:color="auto" w:fill="FFFFFF" w:themeFill="background1"/>
            <w:vAlign w:val="center"/>
            <w:hideMark/>
          </w:tcPr>
          <w:p w:rsidR="00C03D15" w:rsidRPr="00C03D15" w:rsidRDefault="00C03D15" w:rsidP="00C03D15"/>
        </w:tc>
        <w:tc>
          <w:tcPr>
            <w:tcW w:w="1276" w:type="dxa"/>
            <w:vMerge/>
            <w:shd w:val="clear" w:color="auto" w:fill="FFFFFF" w:themeFill="background1"/>
            <w:vAlign w:val="center"/>
            <w:hideMark/>
          </w:tcPr>
          <w:p w:rsidR="00C03D15" w:rsidRPr="00C03D15" w:rsidRDefault="00C03D15" w:rsidP="008E6E38">
            <w:pPr>
              <w:jc w:val="center"/>
            </w:pPr>
          </w:p>
        </w:tc>
        <w:tc>
          <w:tcPr>
            <w:tcW w:w="1417" w:type="dxa"/>
            <w:shd w:val="clear" w:color="auto" w:fill="FFFFFF" w:themeFill="background1"/>
          </w:tcPr>
          <w:p w:rsidR="00C03D15" w:rsidRPr="00C03D15" w:rsidRDefault="00C03D15" w:rsidP="008E6E38">
            <w:pPr>
              <w:jc w:val="center"/>
            </w:pPr>
            <w:r w:rsidRPr="00C03D15">
              <w:rPr>
                <w:rFonts w:hint="eastAsia"/>
              </w:rPr>
              <w:t>金额（万元）</w:t>
            </w:r>
          </w:p>
        </w:tc>
        <w:tc>
          <w:tcPr>
            <w:tcW w:w="1529" w:type="dxa"/>
            <w:shd w:val="clear" w:color="auto" w:fill="FFFFFF" w:themeFill="background1"/>
          </w:tcPr>
          <w:p w:rsidR="00C03D15" w:rsidRPr="00C03D15" w:rsidRDefault="00C03D15" w:rsidP="008E6E38">
            <w:pPr>
              <w:jc w:val="center"/>
            </w:pPr>
            <w:r w:rsidRPr="00C03D15">
              <w:rPr>
                <w:rFonts w:hint="eastAsia"/>
              </w:rPr>
              <w:t>金额（万元）</w:t>
            </w:r>
          </w:p>
        </w:tc>
        <w:tc>
          <w:tcPr>
            <w:tcW w:w="3432" w:type="dxa"/>
            <w:shd w:val="clear" w:color="auto" w:fill="FFFFFF" w:themeFill="background1"/>
          </w:tcPr>
          <w:p w:rsidR="00C03D15" w:rsidRPr="00C03D15" w:rsidRDefault="00C03D15" w:rsidP="008E6E38">
            <w:pPr>
              <w:jc w:val="center"/>
            </w:pPr>
            <w:r w:rsidRPr="00C03D15">
              <w:rPr>
                <w:rFonts w:hint="eastAsia"/>
              </w:rPr>
              <w:t>备注</w:t>
            </w: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一、收  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其中：教育事业支出</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政府补助收入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3</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科研事业收入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4</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34"/>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捐赠收入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5</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8</w:t>
            </w:r>
            <w:r w:rsidRPr="008E6E38">
              <w:rPr>
                <w:rFonts w:ascii="等线" w:eastAsia="等线" w:hAnsi="等线" w:cs="Times New Roman"/>
                <w:szCs w:val="21"/>
              </w:rPr>
              <w:t>00</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9</w:t>
            </w:r>
            <w:r w:rsidRPr="008E6E38">
              <w:rPr>
                <w:rFonts w:ascii="等线" w:eastAsia="等线" w:hAnsi="等线" w:cs="Times New Roman"/>
                <w:szCs w:val="21"/>
              </w:rPr>
              <w:t>85.71</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商品销售收入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6</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投资收益</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7</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455"/>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其他收入</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8</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3</w:t>
            </w:r>
            <w:r w:rsidRPr="008E6E38">
              <w:rPr>
                <w:rFonts w:ascii="等线" w:eastAsia="等线" w:hAnsi="等线" w:cs="Times New Roman"/>
                <w:szCs w:val="21"/>
              </w:rPr>
              <w:t>0</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9.16</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602"/>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收 入 合 计</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9</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8</w:t>
            </w:r>
            <w:r w:rsidRPr="008E6E38">
              <w:rPr>
                <w:rFonts w:ascii="等线" w:eastAsia="等线" w:hAnsi="等线" w:cs="Times New Roman"/>
                <w:szCs w:val="21"/>
              </w:rPr>
              <w:t>30</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w:t>
            </w:r>
            <w:r w:rsidRPr="008E6E38">
              <w:rPr>
                <w:rFonts w:ascii="等线" w:eastAsia="等线" w:hAnsi="等线" w:cs="Times New Roman"/>
                <w:szCs w:val="21"/>
              </w:rPr>
              <w:t>014.87</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二、费  用</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10</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602"/>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lastRenderedPageBreak/>
              <w:t xml:space="preserve">  （一）业务活动成本</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11</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30</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7</w:t>
            </w:r>
            <w:r w:rsidRPr="008E6E38">
              <w:rPr>
                <w:rFonts w:ascii="等线" w:eastAsia="等线" w:hAnsi="等线" w:cs="Times New Roman"/>
                <w:szCs w:val="21"/>
              </w:rPr>
              <w:t>0.73</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602"/>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其中：教育业务活动成本</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12</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30</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7</w:t>
            </w:r>
            <w:r w:rsidRPr="008E6E38">
              <w:rPr>
                <w:rFonts w:ascii="等线" w:eastAsia="等线" w:hAnsi="等线" w:cs="Times New Roman"/>
                <w:szCs w:val="21"/>
              </w:rPr>
              <w:t>0.73</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商品销售成本</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13</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其他业务活动成本</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14</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15</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602"/>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（二）管理费用</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16</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3</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.26</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495"/>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（三）筹资费用</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17</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0</w:t>
            </w:r>
            <w:r w:rsidRPr="008E6E38">
              <w:rPr>
                <w:rFonts w:ascii="等线" w:eastAsia="等线" w:hAnsi="等线" w:cs="Times New Roman"/>
                <w:szCs w:val="21"/>
              </w:rPr>
              <w:t>.03</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415"/>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（四）其他费用</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18</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323"/>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 xml:space="preserve">    其中：所得税费用</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19</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r w:rsidR="00C03D15" w:rsidRPr="008E6E38" w:rsidTr="005F0015">
        <w:trPr>
          <w:trHeight w:val="602"/>
          <w:jc w:val="center"/>
        </w:trPr>
        <w:tc>
          <w:tcPr>
            <w:tcW w:w="3734" w:type="dxa"/>
            <w:shd w:val="clear" w:color="auto" w:fill="FFFFFF" w:themeFill="background1"/>
            <w:tcMar>
              <w:top w:w="12" w:type="dxa"/>
              <w:left w:w="12" w:type="dxa"/>
              <w:bottom w:w="0" w:type="dxa"/>
              <w:right w:w="12" w:type="dxa"/>
            </w:tcMar>
            <w:vAlign w:val="center"/>
            <w:hideMark/>
          </w:tcPr>
          <w:p w:rsidR="00C03D15" w:rsidRPr="008E6E38" w:rsidRDefault="00C03D15" w:rsidP="00C03D15">
            <w:pPr>
              <w:rPr>
                <w:rFonts w:ascii="等线" w:eastAsia="等线" w:hAnsi="等线" w:cs="Times New Roman"/>
                <w:szCs w:val="21"/>
              </w:rPr>
            </w:pPr>
            <w:r w:rsidRPr="008E6E38">
              <w:rPr>
                <w:rFonts w:ascii="等线" w:eastAsia="等线" w:hAnsi="等线" w:cs="Times New Roman" w:hint="eastAsia"/>
                <w:szCs w:val="21"/>
              </w:rPr>
              <w:t>支 出 合 计</w:t>
            </w:r>
          </w:p>
        </w:tc>
        <w:tc>
          <w:tcPr>
            <w:tcW w:w="1276" w:type="dxa"/>
            <w:shd w:val="clear" w:color="auto" w:fill="FFFFFF" w:themeFill="background1"/>
            <w:tcMar>
              <w:top w:w="12" w:type="dxa"/>
              <w:left w:w="12" w:type="dxa"/>
              <w:bottom w:w="0" w:type="dxa"/>
              <w:right w:w="12" w:type="dxa"/>
            </w:tcMar>
            <w:vAlign w:val="center"/>
            <w:hideMark/>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20</w:t>
            </w:r>
          </w:p>
        </w:tc>
        <w:tc>
          <w:tcPr>
            <w:tcW w:w="1417"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2</w:t>
            </w:r>
            <w:r w:rsidRPr="008E6E38">
              <w:rPr>
                <w:rFonts w:ascii="等线" w:eastAsia="等线" w:hAnsi="等线" w:cs="Times New Roman"/>
                <w:szCs w:val="21"/>
              </w:rPr>
              <w:t>34</w:t>
            </w:r>
          </w:p>
        </w:tc>
        <w:tc>
          <w:tcPr>
            <w:tcW w:w="1529" w:type="dxa"/>
            <w:shd w:val="clear" w:color="auto" w:fill="FFFFFF" w:themeFill="background1"/>
          </w:tcPr>
          <w:p w:rsidR="00C03D15" w:rsidRPr="008E6E38" w:rsidRDefault="00C03D15" w:rsidP="008E6E38">
            <w:pPr>
              <w:jc w:val="center"/>
              <w:rPr>
                <w:rFonts w:ascii="等线" w:eastAsia="等线" w:hAnsi="等线" w:cs="Times New Roman"/>
                <w:szCs w:val="21"/>
              </w:rPr>
            </w:pPr>
            <w:r w:rsidRPr="008E6E38">
              <w:rPr>
                <w:rFonts w:ascii="等线" w:eastAsia="等线" w:hAnsi="等线" w:cs="Times New Roman" w:hint="eastAsia"/>
                <w:szCs w:val="21"/>
              </w:rPr>
              <w:t>7</w:t>
            </w:r>
            <w:r w:rsidRPr="008E6E38">
              <w:rPr>
                <w:rFonts w:ascii="等线" w:eastAsia="等线" w:hAnsi="等线" w:cs="Times New Roman"/>
                <w:szCs w:val="21"/>
              </w:rPr>
              <w:t>3.02</w:t>
            </w:r>
          </w:p>
        </w:tc>
        <w:tc>
          <w:tcPr>
            <w:tcW w:w="3432" w:type="dxa"/>
            <w:shd w:val="clear" w:color="auto" w:fill="FFFFFF" w:themeFill="background1"/>
          </w:tcPr>
          <w:p w:rsidR="00C03D15" w:rsidRPr="008E6E38" w:rsidRDefault="00C03D15" w:rsidP="008E6E38">
            <w:pPr>
              <w:jc w:val="center"/>
              <w:rPr>
                <w:rFonts w:ascii="等线" w:eastAsia="等线" w:hAnsi="等线" w:cs="Times New Roman"/>
                <w:szCs w:val="21"/>
              </w:rPr>
            </w:pPr>
          </w:p>
        </w:tc>
      </w:tr>
    </w:tbl>
    <w:p w:rsidR="00B952A8" w:rsidRDefault="00B952A8" w:rsidP="00EE11EE">
      <w:pPr>
        <w:rPr>
          <w:b/>
        </w:rPr>
      </w:pPr>
    </w:p>
    <w:p w:rsidR="00EE11EE" w:rsidRPr="000A1D24" w:rsidRDefault="00906873" w:rsidP="00EE11EE">
      <w:pPr>
        <w:rPr>
          <w:b/>
          <w:sz w:val="32"/>
          <w:szCs w:val="32"/>
        </w:rPr>
      </w:pPr>
      <w:r w:rsidRPr="00906873">
        <w:rPr>
          <w:rFonts w:hint="eastAsia"/>
          <w:b/>
          <w:sz w:val="32"/>
          <w:szCs w:val="32"/>
        </w:rPr>
        <w:t>四、</w:t>
      </w:r>
      <w:r w:rsidR="00EE11EE" w:rsidRPr="000A1D24">
        <w:rPr>
          <w:rFonts w:hint="eastAsia"/>
          <w:b/>
          <w:sz w:val="32"/>
          <w:szCs w:val="32"/>
        </w:rPr>
        <w:t>项目工作汇报</w:t>
      </w:r>
    </w:p>
    <w:p w:rsidR="005A2A97" w:rsidRPr="00CD1206" w:rsidRDefault="005A2A97" w:rsidP="005A2A97">
      <w:pPr>
        <w:rPr>
          <w:b/>
          <w:sz w:val="28"/>
          <w:szCs w:val="28"/>
        </w:rPr>
      </w:pPr>
      <w:r w:rsidRPr="00E05D65">
        <w:rPr>
          <w:rFonts w:hint="eastAsia"/>
          <w:sz w:val="28"/>
          <w:szCs w:val="28"/>
        </w:rPr>
        <w:t>各项目</w:t>
      </w:r>
      <w:r>
        <w:rPr>
          <w:rFonts w:hint="eastAsia"/>
          <w:sz w:val="28"/>
          <w:szCs w:val="28"/>
        </w:rPr>
        <w:t>具体</w:t>
      </w:r>
      <w:r w:rsidRPr="00E05D65">
        <w:rPr>
          <w:rFonts w:hint="eastAsia"/>
          <w:sz w:val="28"/>
          <w:szCs w:val="28"/>
        </w:rPr>
        <w:t>执行情况</w:t>
      </w:r>
      <w:r>
        <w:rPr>
          <w:rFonts w:hint="eastAsia"/>
          <w:sz w:val="28"/>
          <w:szCs w:val="28"/>
        </w:rPr>
        <w:t>可</w:t>
      </w:r>
      <w:r w:rsidRPr="00E05D65">
        <w:rPr>
          <w:rFonts w:hint="eastAsia"/>
          <w:sz w:val="28"/>
          <w:szCs w:val="28"/>
        </w:rPr>
        <w:t>参见各项目结项报告书</w:t>
      </w:r>
      <w:r>
        <w:rPr>
          <w:rFonts w:hint="eastAsia"/>
          <w:sz w:val="28"/>
          <w:szCs w:val="28"/>
        </w:rPr>
        <w:t>。本年度所有报告项目经基金会秘书处审核，均符合合格要求，请理</w:t>
      </w:r>
      <w:r>
        <w:rPr>
          <w:rFonts w:hint="eastAsia"/>
          <w:sz w:val="28"/>
          <w:szCs w:val="28"/>
        </w:rPr>
        <w:lastRenderedPageBreak/>
        <w:t>事会审议。</w:t>
      </w:r>
    </w:p>
    <w:p w:rsidR="000A1D24" w:rsidRPr="008E6E38" w:rsidRDefault="000A1D24" w:rsidP="008E6E38">
      <w:pPr>
        <w:rPr>
          <w:rFonts w:ascii="等线" w:eastAsia="等线" w:hAnsi="等线" w:cs="Times New Roman"/>
          <w:szCs w:val="21"/>
        </w:rPr>
      </w:pPr>
      <w:r w:rsidRPr="008E6E38">
        <w:rPr>
          <w:rFonts w:ascii="等线" w:eastAsia="等线" w:hAnsi="等线" w:cs="Times New Roman"/>
          <w:szCs w:val="21"/>
        </w:rPr>
        <w:t>201</w:t>
      </w:r>
      <w:r w:rsidRPr="008E6E38">
        <w:rPr>
          <w:rFonts w:ascii="等线" w:eastAsia="等线" w:hAnsi="等线" w:cs="Times New Roman" w:hint="eastAsia"/>
          <w:szCs w:val="21"/>
        </w:rPr>
        <w:t>9年度上海外国语大学教育发展基金会</w:t>
      </w:r>
      <w:r w:rsidR="00224406" w:rsidRPr="008E6E38">
        <w:rPr>
          <w:rFonts w:ascii="等线" w:eastAsia="等线" w:hAnsi="等线" w:cs="Times New Roman" w:hint="eastAsia"/>
          <w:szCs w:val="21"/>
        </w:rPr>
        <w:t>开展公益项目明细表</w:t>
      </w:r>
      <w:r w:rsidRPr="008E6E38">
        <w:rPr>
          <w:rFonts w:ascii="等线" w:eastAsia="等线" w:hAnsi="等线" w:cs="Times New Roman" w:hint="eastAsia"/>
          <w:szCs w:val="21"/>
        </w:rPr>
        <w:t>：</w:t>
      </w:r>
    </w:p>
    <w:tbl>
      <w:tblPr>
        <w:tblW w:w="133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969"/>
        <w:gridCol w:w="1807"/>
        <w:gridCol w:w="1807"/>
        <w:gridCol w:w="1807"/>
        <w:gridCol w:w="1808"/>
      </w:tblGrid>
      <w:tr w:rsidR="00224406" w:rsidRPr="008E6E38" w:rsidTr="00011592">
        <w:trPr>
          <w:trHeight w:val="276"/>
        </w:trPr>
        <w:tc>
          <w:tcPr>
            <w:tcW w:w="2127"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项目</w:t>
            </w:r>
          </w:p>
        </w:tc>
        <w:tc>
          <w:tcPr>
            <w:tcW w:w="3969"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用途</w:t>
            </w:r>
          </w:p>
        </w:tc>
        <w:tc>
          <w:tcPr>
            <w:tcW w:w="1807"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期初余额</w:t>
            </w:r>
          </w:p>
        </w:tc>
        <w:tc>
          <w:tcPr>
            <w:tcW w:w="1807"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本期增加</w:t>
            </w:r>
          </w:p>
        </w:tc>
        <w:tc>
          <w:tcPr>
            <w:tcW w:w="1807"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本期减少</w:t>
            </w:r>
          </w:p>
        </w:tc>
        <w:tc>
          <w:tcPr>
            <w:tcW w:w="1808" w:type="dxa"/>
            <w:noWrap/>
            <w:vAlign w:val="center"/>
          </w:tcPr>
          <w:p w:rsidR="000A1D24" w:rsidRPr="008E6E38" w:rsidRDefault="000A1D24" w:rsidP="008E6E38">
            <w:pPr>
              <w:jc w:val="center"/>
              <w:rPr>
                <w:rFonts w:ascii="等线" w:eastAsia="等线" w:hAnsi="等线" w:cs="Times New Roman"/>
                <w:b/>
                <w:szCs w:val="21"/>
              </w:rPr>
            </w:pPr>
            <w:r w:rsidRPr="008E6E38">
              <w:rPr>
                <w:rFonts w:ascii="等线" w:eastAsia="等线" w:hAnsi="等线" w:cs="Times New Roman" w:hint="eastAsia"/>
                <w:b/>
                <w:szCs w:val="21"/>
              </w:rPr>
              <w:t>期末余额</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三井住友银行奖学金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三井住友银行优秀学生奖</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31560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42240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73800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致远围棋基金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支持上外围棋事业发展</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77413.2</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87413.2</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中国路桥教育基金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中国路桥奖教金、奖学金、助学金</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赠与亚洲基金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张乃新奖学金、助学金</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10557.66</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467329.77</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477887.43</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MBA（嘉御基金）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MBA教学科研、学生实践活动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708380.63</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83184.1</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625196.53</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校友助学基金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开展相关院系校友活动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243890.64</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3026.76</w:t>
            </w:r>
          </w:p>
        </w:tc>
        <w:tc>
          <w:tcPr>
            <w:tcW w:w="1807" w:type="dxa"/>
            <w:noWrap/>
            <w:vAlign w:val="center"/>
          </w:tcPr>
          <w:p w:rsidR="000A1D24" w:rsidRPr="008E6E38" w:rsidRDefault="000A1D24" w:rsidP="008E6E38">
            <w:pPr>
              <w:rPr>
                <w:rFonts w:ascii="等线" w:eastAsia="等线" w:hAnsi="等线" w:cs="Times New Roman"/>
                <w:szCs w:val="21"/>
              </w:rPr>
            </w:pP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246917.4</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物语公司教育基金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日语系教学科研与学生实践活动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55051.94</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5800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49251.94</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思源教育基金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俄语系优秀学生奖</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1043500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17500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1061000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爱棒球教育发展基金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上外棒球队训练、比赛费用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28400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28370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30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申万宏源基金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申万宏源奖、助学金、奖教金</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2319.16</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85000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87319.16</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lastRenderedPageBreak/>
              <w:t>外教社基金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外教社奖、助学金、奖教金</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550666.45</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650666.45</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中博教育基金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支持学校国际金融贸易学院的教学科研与师生人才培养</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65000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135000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邹格兵教育基金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支持学校教学科研发展与校友活动及70周年校庆活动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3000000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3000000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243379.44</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5756620.56</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东方语学院学生活动基金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支持东方语学生社会实践活动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18255</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6050.7</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12204.3</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三菱商事奖学金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学生奖学金</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205000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205000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泽稷教育基金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支持学校国际金融贸易学院教学科研与人才培养工作</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800000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康师傅教育基金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资助工商管理学院贫困生与上外就业指导中心双创指导中心的运营与维护</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西索德育教育基金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支持德语系教学科研与学生实践活动</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lastRenderedPageBreak/>
              <w:t>SISU-RAE人文教育基金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支持SISU-RAE联合中心的运营与维护</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1748810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1748810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安硕基础教育基金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支持学校基础教育工作</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2500000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2500000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郭伟成教育基金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支持和推动学校教育事业的发展</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100000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吴贤良励志奖</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支持和推动学校教育事业的发展</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20000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校庆专项基金</w:t>
            </w:r>
          </w:p>
        </w:tc>
        <w:tc>
          <w:tcPr>
            <w:tcW w:w="3969"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支持上外70周年校庆各类项目</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22000</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0</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22000</w:t>
            </w:r>
          </w:p>
        </w:tc>
      </w:tr>
      <w:tr w:rsidR="00224406" w:rsidRPr="008E6E38" w:rsidTr="00011592">
        <w:trPr>
          <w:trHeight w:val="276"/>
        </w:trPr>
        <w:tc>
          <w:tcPr>
            <w:tcW w:w="212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合计</w:t>
            </w:r>
          </w:p>
        </w:tc>
        <w:tc>
          <w:tcPr>
            <w:tcW w:w="3969" w:type="dxa"/>
            <w:noWrap/>
            <w:vAlign w:val="center"/>
          </w:tcPr>
          <w:p w:rsidR="000A1D24" w:rsidRPr="008E6E38" w:rsidRDefault="000A1D24" w:rsidP="008E6E38">
            <w:pPr>
              <w:rPr>
                <w:rFonts w:ascii="等线" w:eastAsia="等线" w:hAnsi="等线" w:cs="Times New Roman"/>
                <w:szCs w:val="21"/>
              </w:rPr>
            </w:pP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5969994.68</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9720906.53</w:t>
            </w:r>
          </w:p>
        </w:tc>
        <w:tc>
          <w:tcPr>
            <w:tcW w:w="1807"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636784.24</w:t>
            </w:r>
          </w:p>
        </w:tc>
        <w:tc>
          <w:tcPr>
            <w:tcW w:w="1808" w:type="dxa"/>
            <w:noWrap/>
            <w:vAlign w:val="center"/>
          </w:tcPr>
          <w:p w:rsidR="000A1D24" w:rsidRPr="008E6E38" w:rsidRDefault="000A1D24" w:rsidP="008E6E38">
            <w:pPr>
              <w:rPr>
                <w:rFonts w:ascii="等线" w:eastAsia="等线" w:hAnsi="等线" w:cs="Times New Roman"/>
                <w:szCs w:val="21"/>
              </w:rPr>
            </w:pPr>
            <w:r w:rsidRPr="008E6E38">
              <w:rPr>
                <w:rFonts w:ascii="等线" w:eastAsia="等线" w:hAnsi="等线" w:cs="Times New Roman" w:hint="eastAsia"/>
                <w:szCs w:val="21"/>
              </w:rPr>
              <w:t>15054116.97</w:t>
            </w:r>
          </w:p>
        </w:tc>
      </w:tr>
    </w:tbl>
    <w:p w:rsidR="000A1D24" w:rsidRPr="008E6E38" w:rsidRDefault="000A1D24" w:rsidP="008E6E38">
      <w:pPr>
        <w:rPr>
          <w:rFonts w:ascii="等线" w:eastAsia="等线" w:hAnsi="等线" w:cs="Times New Roman"/>
          <w:szCs w:val="21"/>
        </w:rPr>
      </w:pPr>
    </w:p>
    <w:sectPr w:rsidR="000A1D24" w:rsidRPr="008E6E38" w:rsidSect="00A736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B6A" w:rsidRDefault="00674B6A" w:rsidP="007222DC">
      <w:r>
        <w:separator/>
      </w:r>
    </w:p>
  </w:endnote>
  <w:endnote w:type="continuationSeparator" w:id="1">
    <w:p w:rsidR="00674B6A" w:rsidRDefault="00674B6A" w:rsidP="00722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B6A" w:rsidRDefault="00674B6A" w:rsidP="007222DC">
      <w:r>
        <w:separator/>
      </w:r>
    </w:p>
  </w:footnote>
  <w:footnote w:type="continuationSeparator" w:id="1">
    <w:p w:rsidR="00674B6A" w:rsidRDefault="00674B6A" w:rsidP="00722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5588B"/>
    <w:multiLevelType w:val="hybridMultilevel"/>
    <w:tmpl w:val="FA6C99C4"/>
    <w:lvl w:ilvl="0" w:tplc="B2FE6A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B40F47"/>
    <w:multiLevelType w:val="hybridMultilevel"/>
    <w:tmpl w:val="FD58A156"/>
    <w:lvl w:ilvl="0" w:tplc="7DBAC75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6F7"/>
    <w:rsid w:val="00005159"/>
    <w:rsid w:val="00011592"/>
    <w:rsid w:val="00034DE8"/>
    <w:rsid w:val="000516E3"/>
    <w:rsid w:val="000A1D24"/>
    <w:rsid w:val="000F25A4"/>
    <w:rsid w:val="00124E9F"/>
    <w:rsid w:val="00134BDE"/>
    <w:rsid w:val="00187CD4"/>
    <w:rsid w:val="00224406"/>
    <w:rsid w:val="0026649C"/>
    <w:rsid w:val="002868C7"/>
    <w:rsid w:val="002A4485"/>
    <w:rsid w:val="002B1420"/>
    <w:rsid w:val="002C5216"/>
    <w:rsid w:val="003060BF"/>
    <w:rsid w:val="00354E8A"/>
    <w:rsid w:val="003D1977"/>
    <w:rsid w:val="003E6AAD"/>
    <w:rsid w:val="003E6ADB"/>
    <w:rsid w:val="00461737"/>
    <w:rsid w:val="00465749"/>
    <w:rsid w:val="00581007"/>
    <w:rsid w:val="005863DE"/>
    <w:rsid w:val="005A2A97"/>
    <w:rsid w:val="005A4927"/>
    <w:rsid w:val="005A50CE"/>
    <w:rsid w:val="005F0015"/>
    <w:rsid w:val="00603668"/>
    <w:rsid w:val="00674B6A"/>
    <w:rsid w:val="006A0581"/>
    <w:rsid w:val="006C7B19"/>
    <w:rsid w:val="006D4837"/>
    <w:rsid w:val="006E6BC0"/>
    <w:rsid w:val="006F1DAA"/>
    <w:rsid w:val="007222DC"/>
    <w:rsid w:val="007B5DA8"/>
    <w:rsid w:val="007C6FA8"/>
    <w:rsid w:val="007D3937"/>
    <w:rsid w:val="007F7268"/>
    <w:rsid w:val="00861A0F"/>
    <w:rsid w:val="00862DA4"/>
    <w:rsid w:val="00866038"/>
    <w:rsid w:val="00876932"/>
    <w:rsid w:val="008C7DCA"/>
    <w:rsid w:val="008E6E38"/>
    <w:rsid w:val="00906873"/>
    <w:rsid w:val="009B0545"/>
    <w:rsid w:val="009B1BA0"/>
    <w:rsid w:val="009C4779"/>
    <w:rsid w:val="009F725B"/>
    <w:rsid w:val="00A65DE7"/>
    <w:rsid w:val="00A736F7"/>
    <w:rsid w:val="00A97CB0"/>
    <w:rsid w:val="00AB15A4"/>
    <w:rsid w:val="00AB32DD"/>
    <w:rsid w:val="00AF497D"/>
    <w:rsid w:val="00B02806"/>
    <w:rsid w:val="00B7590C"/>
    <w:rsid w:val="00B952A8"/>
    <w:rsid w:val="00BA6D66"/>
    <w:rsid w:val="00BF2A48"/>
    <w:rsid w:val="00C03D15"/>
    <w:rsid w:val="00C34AEB"/>
    <w:rsid w:val="00C832DC"/>
    <w:rsid w:val="00CD0CE2"/>
    <w:rsid w:val="00CF0ACC"/>
    <w:rsid w:val="00D90E27"/>
    <w:rsid w:val="00DA6101"/>
    <w:rsid w:val="00DC4188"/>
    <w:rsid w:val="00DF1030"/>
    <w:rsid w:val="00E57BB5"/>
    <w:rsid w:val="00E651B9"/>
    <w:rsid w:val="00EE0D72"/>
    <w:rsid w:val="00EE11EE"/>
    <w:rsid w:val="00F102A2"/>
    <w:rsid w:val="00F90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1EE"/>
    <w:pPr>
      <w:ind w:firstLineChars="200" w:firstLine="420"/>
    </w:pPr>
  </w:style>
  <w:style w:type="paragraph" w:styleId="a4">
    <w:name w:val="header"/>
    <w:basedOn w:val="a"/>
    <w:link w:val="Char"/>
    <w:uiPriority w:val="99"/>
    <w:unhideWhenUsed/>
    <w:rsid w:val="00722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222DC"/>
    <w:rPr>
      <w:sz w:val="18"/>
      <w:szCs w:val="18"/>
    </w:rPr>
  </w:style>
  <w:style w:type="paragraph" w:styleId="a5">
    <w:name w:val="footer"/>
    <w:basedOn w:val="a"/>
    <w:link w:val="Char0"/>
    <w:uiPriority w:val="99"/>
    <w:unhideWhenUsed/>
    <w:rsid w:val="007222DC"/>
    <w:pPr>
      <w:tabs>
        <w:tab w:val="center" w:pos="4153"/>
        <w:tab w:val="right" w:pos="8306"/>
      </w:tabs>
      <w:snapToGrid w:val="0"/>
      <w:jc w:val="left"/>
    </w:pPr>
    <w:rPr>
      <w:sz w:val="18"/>
      <w:szCs w:val="18"/>
    </w:rPr>
  </w:style>
  <w:style w:type="character" w:customStyle="1" w:styleId="Char0">
    <w:name w:val="页脚 Char"/>
    <w:basedOn w:val="a0"/>
    <w:link w:val="a5"/>
    <w:uiPriority w:val="99"/>
    <w:rsid w:val="007222D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杨晴琦</dc:creator>
  <cp:lastModifiedBy>黄震宇</cp:lastModifiedBy>
  <cp:revision>14</cp:revision>
  <dcterms:created xsi:type="dcterms:W3CDTF">2020-09-16T08:15:00Z</dcterms:created>
  <dcterms:modified xsi:type="dcterms:W3CDTF">2020-09-18T09:39:00Z</dcterms:modified>
</cp:coreProperties>
</file>